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DF6014" w14:textId="39BD9ADE" w:rsidR="009F5195" w:rsidRPr="0068053C" w:rsidRDefault="7C05A0CD" w:rsidP="7C05A0CD">
      <w:pPr>
        <w:rPr>
          <w:rFonts w:ascii="Franklin Gothic Demi" w:eastAsia="Franklin Gothic Demi" w:hAnsi="Franklin Gothic Demi" w:cs="Franklin Gothic Demi"/>
          <w:sz w:val="56"/>
          <w:szCs w:val="56"/>
          <w:lang w:val="en-GB"/>
        </w:rPr>
      </w:pPr>
      <w:bookmarkStart w:id="0" w:name="_Toc67643374"/>
      <w:bookmarkStart w:id="1" w:name="_Toc67923554"/>
      <w:r w:rsidRPr="7C05A0CD">
        <w:rPr>
          <w:rFonts w:ascii="Franklin Gothic Demi" w:eastAsia="Franklin Gothic Demi" w:hAnsi="Franklin Gothic Demi" w:cs="Franklin Gothic Demi"/>
          <w:sz w:val="56"/>
          <w:szCs w:val="56"/>
          <w:lang w:val="en-GB"/>
        </w:rPr>
        <w:t>FACTSHEET 3: MAINSTREAMING/ TRANSFER PROCESS</w:t>
      </w:r>
      <w:bookmarkEnd w:id="0"/>
      <w:bookmarkEnd w:id="1"/>
    </w:p>
    <w:p w14:paraId="0A89434C" w14:textId="0256B3FB" w:rsidR="7C05A0CD" w:rsidRDefault="7C05A0CD" w:rsidP="7C05A0CD">
      <w:pPr>
        <w:rPr>
          <w:rFonts w:ascii="Franklin Gothic Demi" w:eastAsia="Franklin Gothic Demi" w:hAnsi="Franklin Gothic Demi" w:cs="Franklin Gothic Demi"/>
          <w:sz w:val="56"/>
          <w:szCs w:val="56"/>
          <w:lang w:val="en-GB"/>
        </w:rPr>
      </w:pPr>
      <w:r w:rsidRPr="7C05A0CD">
        <w:rPr>
          <w:rFonts w:ascii="Franklin Gothic Demi" w:eastAsia="Franklin Gothic Demi" w:hAnsi="Franklin Gothic Demi" w:cs="Franklin Gothic Demi"/>
          <w:sz w:val="20"/>
          <w:szCs w:val="20"/>
          <w:lang w:val="en-GB"/>
        </w:rPr>
        <w:t>__________________________________________________________________________________________</w:t>
      </w:r>
    </w:p>
    <w:p w14:paraId="03EAB681" w14:textId="76890A45" w:rsidR="0068053C" w:rsidRPr="0068053C" w:rsidRDefault="7C05A0CD" w:rsidP="7C05A0CD">
      <w:pPr>
        <w:spacing w:before="40" w:after="120" w:line="240" w:lineRule="auto"/>
        <w:rPr>
          <w:rFonts w:ascii="Franklin Gothic Demi" w:eastAsia="Franklin Gothic Demi" w:hAnsi="Franklin Gothic Demi" w:cs="Franklin Gothic Demi"/>
          <w:color w:val="5B9BD5" w:themeColor="accent5"/>
          <w:sz w:val="21"/>
          <w:szCs w:val="21"/>
          <w:lang w:val="en-GB"/>
        </w:rPr>
      </w:pPr>
      <w:r w:rsidRPr="7C05A0CD">
        <w:rPr>
          <w:rFonts w:ascii="Franklin Gothic Demi" w:eastAsia="Franklin Gothic Demi" w:hAnsi="Franklin Gothic Demi" w:cs="Franklin Gothic Demi"/>
          <w:i/>
          <w:iCs/>
          <w:color w:val="00517D"/>
          <w:sz w:val="21"/>
          <w:szCs w:val="21"/>
          <w:lang w:val="en-GB"/>
        </w:rPr>
        <w:t>SOURCE</w:t>
      </w:r>
      <w:r w:rsidRPr="7C05A0CD">
        <w:rPr>
          <w:rFonts w:ascii="Franklin Gothic Demi" w:eastAsia="Franklin Gothic Demi" w:hAnsi="Franklin Gothic Demi" w:cs="Franklin Gothic Demi"/>
          <w:color w:val="00517D"/>
          <w:sz w:val="21"/>
          <w:szCs w:val="21"/>
          <w:lang w:val="en-GB"/>
        </w:rPr>
        <w:t>: SUPPORT CONTRACT FOR THE PROVENCE-ALPES-COTE D'AZUR REGION (FRANCE) FOR THE MAINSTREAMING AND CAPITALISATION OF EUROPEAN PROJECTS – HORIZONTAL AND STRATEGIC PROJECTS UNDER TRANSNATIONAL MED PROGRAMME 2014-2020</w:t>
      </w:r>
    </w:p>
    <w:p w14:paraId="3D75BC1A" w14:textId="77777777" w:rsidR="009F5195" w:rsidRPr="00A646A4" w:rsidRDefault="009F5195" w:rsidP="009F5195">
      <w:pPr>
        <w:spacing w:before="40" w:after="40" w:line="240" w:lineRule="auto"/>
        <w:rPr>
          <w:rFonts w:ascii="Tahoma" w:hAnsi="Tahoma" w:cs="Tahoma"/>
          <w:b/>
          <w:bCs/>
          <w:sz w:val="8"/>
          <w:szCs w:val="8"/>
          <w:lang w:val="en-GB"/>
        </w:rPr>
      </w:pPr>
    </w:p>
    <w:p w14:paraId="68BE0D4E" w14:textId="39E356A6" w:rsidR="009F5195" w:rsidRPr="00A646A4" w:rsidRDefault="7C05A0CD" w:rsidP="009F5195">
      <w:pPr>
        <w:spacing w:before="40" w:after="40" w:line="240" w:lineRule="auto"/>
        <w:rPr>
          <w:rFonts w:ascii="Tahoma" w:hAnsi="Tahoma" w:cs="Tahoma"/>
          <w:sz w:val="20"/>
          <w:szCs w:val="20"/>
          <w:lang w:val="en-GB"/>
        </w:rPr>
      </w:pPr>
      <w:r w:rsidRPr="7C05A0CD">
        <w:rPr>
          <w:rFonts w:ascii="Franklin Gothic Demi" w:eastAsia="Franklin Gothic Demi" w:hAnsi="Franklin Gothic Demi" w:cs="Franklin Gothic Demi"/>
          <w:sz w:val="21"/>
          <w:szCs w:val="21"/>
          <w:lang w:val="en-GB"/>
        </w:rPr>
        <w:t>Objectives:</w:t>
      </w:r>
      <w:r w:rsidRPr="7C05A0CD">
        <w:rPr>
          <w:rFonts w:ascii="Tahoma" w:hAnsi="Tahoma" w:cs="Tahoma"/>
          <w:b/>
          <w:bCs/>
          <w:sz w:val="20"/>
          <w:szCs w:val="20"/>
          <w:lang w:val="en-GB"/>
        </w:rPr>
        <w:t xml:space="preserve"> </w:t>
      </w:r>
    </w:p>
    <w:p w14:paraId="5E115DB3" w14:textId="77777777" w:rsidR="009F5195" w:rsidRPr="00A646A4" w:rsidRDefault="7C05A0CD" w:rsidP="7C05A0CD">
      <w:pPr>
        <w:pStyle w:val="ListParagraph"/>
        <w:numPr>
          <w:ilvl w:val="0"/>
          <w:numId w:val="1"/>
        </w:numPr>
        <w:spacing w:before="40" w:after="40" w:line="240" w:lineRule="auto"/>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 xml:space="preserve">To implement a process able to generate concrete improvement and changes for the stakeholders involved </w:t>
      </w:r>
    </w:p>
    <w:p w14:paraId="5B44793D" w14:textId="77777777" w:rsidR="009F5195" w:rsidRPr="00A646A4" w:rsidRDefault="7C05A0CD" w:rsidP="7C05A0CD">
      <w:pPr>
        <w:pStyle w:val="ListParagraph"/>
        <w:numPr>
          <w:ilvl w:val="0"/>
          <w:numId w:val="1"/>
        </w:numPr>
        <w:spacing w:before="40" w:after="40" w:line="240" w:lineRule="auto"/>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To get organised in order to be able to implement this process over a long run, as a mainstreaming or transfer process can require from a few months to several years</w:t>
      </w:r>
    </w:p>
    <w:p w14:paraId="6CEBF180" w14:textId="0F914D29" w:rsidR="009F5195" w:rsidRDefault="7C05A0CD" w:rsidP="7C05A0CD">
      <w:pPr>
        <w:pStyle w:val="ListParagraph"/>
        <w:numPr>
          <w:ilvl w:val="0"/>
          <w:numId w:val="1"/>
        </w:numPr>
        <w:spacing w:before="40" w:after="40" w:line="240" w:lineRule="auto"/>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To define indicators that can help monitor the process</w:t>
      </w:r>
    </w:p>
    <w:p w14:paraId="0CF62033" w14:textId="3C1A909C" w:rsidR="00364972" w:rsidRPr="00364972" w:rsidRDefault="00364972" w:rsidP="00364972">
      <w:pPr>
        <w:rPr>
          <w:rFonts w:ascii="Franklin Gothic Book" w:eastAsia="Franklin Gothic Book" w:hAnsi="Franklin Gothic Book" w:cs="Franklin Gothic Book"/>
          <w:sz w:val="21"/>
          <w:szCs w:val="21"/>
          <w:lang w:val="en-GB"/>
        </w:rPr>
      </w:pPr>
      <w:r>
        <w:rPr>
          <w:rFonts w:ascii="Franklin Gothic Book" w:eastAsia="Franklin Gothic Book" w:hAnsi="Franklin Gothic Book" w:cs="Franklin Gothic Book"/>
          <w:sz w:val="21"/>
          <w:szCs w:val="21"/>
          <w:lang w:val="en-GB"/>
        </w:rPr>
        <w:br w:type="page"/>
      </w:r>
    </w:p>
    <w:p w14:paraId="329C9B42" w14:textId="77777777" w:rsidR="009F5195" w:rsidRPr="002623CB" w:rsidRDefault="009F5195" w:rsidP="009F5195">
      <w:pPr>
        <w:spacing w:before="40" w:after="40" w:line="240" w:lineRule="auto"/>
        <w:rPr>
          <w:sz w:val="12"/>
          <w:szCs w:val="12"/>
          <w:lang w:val="en-GB"/>
        </w:rPr>
      </w:pPr>
    </w:p>
    <w:tbl>
      <w:tblPr>
        <w:tblStyle w:val="TableGrid"/>
        <w:tblW w:w="0" w:type="auto"/>
        <w:tblLook w:val="04A0" w:firstRow="1" w:lastRow="0" w:firstColumn="1" w:lastColumn="0" w:noHBand="0" w:noVBand="1"/>
      </w:tblPr>
      <w:tblGrid>
        <w:gridCol w:w="2404"/>
        <w:gridCol w:w="6658"/>
      </w:tblGrid>
      <w:tr w:rsidR="009F5195" w:rsidRPr="0068053C" w14:paraId="53B07649" w14:textId="77777777" w:rsidTr="7C05A0CD">
        <w:tc>
          <w:tcPr>
            <w:tcW w:w="9062" w:type="dxa"/>
            <w:gridSpan w:val="2"/>
            <w:shd w:val="clear" w:color="auto" w:fill="00517D"/>
          </w:tcPr>
          <w:p w14:paraId="3CFD1236" w14:textId="77777777" w:rsidR="009F5195" w:rsidRPr="00B735B5" w:rsidRDefault="7C05A0CD" w:rsidP="7C05A0CD">
            <w:pPr>
              <w:spacing w:before="120" w:after="120"/>
              <w:rPr>
                <w:rFonts w:ascii="Franklin Gothic Demi" w:eastAsia="Franklin Gothic Demi" w:hAnsi="Franklin Gothic Demi" w:cs="Franklin Gothic Demi"/>
                <w:color w:val="FFFFFF" w:themeColor="background1"/>
                <w:lang w:val="en-GB"/>
              </w:rPr>
            </w:pPr>
            <w:r w:rsidRPr="7C05A0CD">
              <w:rPr>
                <w:rFonts w:ascii="Franklin Gothic Demi" w:eastAsia="Franklin Gothic Demi" w:hAnsi="Franklin Gothic Demi" w:cs="Franklin Gothic Demi"/>
                <w:color w:val="FFFFFF" w:themeColor="background1"/>
                <w:lang w:val="en-GB"/>
              </w:rPr>
              <w:t>Topic 1: Connection between “givers” and “takers” and framework information</w:t>
            </w:r>
          </w:p>
        </w:tc>
      </w:tr>
      <w:tr w:rsidR="009F5195" w:rsidRPr="0068053C" w14:paraId="0D5E3AC8" w14:textId="77777777" w:rsidTr="7C05A0CD">
        <w:tc>
          <w:tcPr>
            <w:tcW w:w="9062" w:type="dxa"/>
            <w:gridSpan w:val="2"/>
            <w:shd w:val="clear" w:color="auto" w:fill="auto"/>
          </w:tcPr>
          <w:p w14:paraId="33B6B21A" w14:textId="77777777" w:rsidR="009F5195" w:rsidRPr="00CE654E" w:rsidRDefault="7C05A0CD" w:rsidP="7C05A0CD">
            <w:pPr>
              <w:spacing w:before="80" w:after="120"/>
              <w:rPr>
                <w:rFonts w:ascii="Franklin Gothic Demi" w:eastAsia="Franklin Gothic Demi" w:hAnsi="Franklin Gothic Demi" w:cs="Franklin Gothic Demi"/>
                <w:color w:val="000000" w:themeColor="text1"/>
                <w:sz w:val="21"/>
                <w:szCs w:val="21"/>
                <w:lang w:val="en-GB"/>
              </w:rPr>
            </w:pPr>
            <w:r w:rsidRPr="7C05A0CD">
              <w:rPr>
                <w:rFonts w:ascii="Franklin Gothic Demi" w:eastAsia="Franklin Gothic Demi" w:hAnsi="Franklin Gothic Demi" w:cs="Franklin Gothic Demi"/>
                <w:color w:val="000000" w:themeColor="text1"/>
                <w:sz w:val="21"/>
                <w:szCs w:val="21"/>
                <w:lang w:val="en-GB"/>
              </w:rPr>
              <w:t>Context / feedback from the experimentation</w:t>
            </w:r>
          </w:p>
          <w:p w14:paraId="02DB5249" w14:textId="77777777" w:rsidR="009F5195" w:rsidRPr="00CE654E" w:rsidRDefault="7C05A0CD" w:rsidP="7C05A0CD">
            <w:pPr>
              <w:spacing w:before="120" w:after="60"/>
              <w:jc w:val="both"/>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When outputs, Givers and potential Takers are identified (see Factsheets 1 and 2), organise a physical meeting to present the process and start exchanges.</w:t>
            </w:r>
          </w:p>
          <w:p w14:paraId="32F06EE5" w14:textId="77777777" w:rsidR="009F5195" w:rsidRPr="00CE654E" w:rsidRDefault="7C05A0CD" w:rsidP="7C05A0CD">
            <w:pPr>
              <w:spacing w:after="60"/>
              <w:jc w:val="both"/>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In the mainstreaming process, the first meeting between Givers and Takers is a key moment to exchange information and start the collaboration. However, external experts had to intervene regularly to animate and stimulate the process. In the absence of external experts, Givers must play a stronger role.</w:t>
            </w:r>
          </w:p>
          <w:p w14:paraId="4CDB1FC2" w14:textId="77777777" w:rsidR="009F5195" w:rsidRPr="00CE654E" w:rsidRDefault="7C05A0CD" w:rsidP="7C05A0CD">
            <w:pPr>
              <w:spacing w:after="60"/>
              <w:jc w:val="both"/>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It is important during this first exchange to identify the persons that will be concretely in charge of the implementation of the process on both sides (Giver and Taker) and able to change the policy from the “Taker” side.</w:t>
            </w:r>
          </w:p>
        </w:tc>
      </w:tr>
      <w:tr w:rsidR="009F5195" w:rsidRPr="00EE6529" w14:paraId="725A5F5A" w14:textId="77777777" w:rsidTr="7C05A0CD">
        <w:trPr>
          <w:trHeight w:val="742"/>
        </w:trPr>
        <w:tc>
          <w:tcPr>
            <w:tcW w:w="2404" w:type="dxa"/>
            <w:shd w:val="clear" w:color="auto" w:fill="8EBED1"/>
            <w:vAlign w:val="center"/>
          </w:tcPr>
          <w:p w14:paraId="7301D44F" w14:textId="77777777" w:rsidR="009F5195" w:rsidRPr="00CE654E" w:rsidRDefault="7C05A0CD" w:rsidP="7C05A0CD">
            <w:pPr>
              <w:spacing w:before="40" w:after="40"/>
              <w:jc w:val="center"/>
              <w:rPr>
                <w:rFonts w:ascii="Franklin Gothic Demi" w:eastAsia="Franklin Gothic Demi" w:hAnsi="Franklin Gothic Demi" w:cs="Franklin Gothic Demi"/>
                <w:color w:val="FFFFFF" w:themeColor="background1"/>
                <w:lang w:val="en-GB"/>
              </w:rPr>
            </w:pPr>
            <w:r w:rsidRPr="7C05A0CD">
              <w:rPr>
                <w:rFonts w:ascii="Franklin Gothic Demi" w:eastAsia="Franklin Gothic Demi" w:hAnsi="Franklin Gothic Demi" w:cs="Franklin Gothic Demi"/>
                <w:color w:val="FFFFFF" w:themeColor="background1"/>
                <w:lang w:val="en-GB"/>
              </w:rPr>
              <w:t>What to do?</w:t>
            </w:r>
          </w:p>
        </w:tc>
        <w:tc>
          <w:tcPr>
            <w:tcW w:w="6658" w:type="dxa"/>
            <w:shd w:val="clear" w:color="auto" w:fill="8EBED1"/>
            <w:vAlign w:val="center"/>
          </w:tcPr>
          <w:p w14:paraId="283AC9BF" w14:textId="77777777" w:rsidR="009F5195" w:rsidRPr="003C135D" w:rsidRDefault="7C05A0CD" w:rsidP="7C05A0CD">
            <w:pPr>
              <w:spacing w:before="60" w:after="60"/>
              <w:jc w:val="center"/>
              <w:rPr>
                <w:rFonts w:ascii="Franklin Gothic Demi" w:eastAsia="Franklin Gothic Demi" w:hAnsi="Franklin Gothic Demi" w:cs="Franklin Gothic Demi"/>
                <w:b/>
                <w:bCs/>
                <w:i/>
                <w:iCs/>
                <w:color w:val="FFFFFF" w:themeColor="background1"/>
                <w:lang w:val="en-GB"/>
              </w:rPr>
            </w:pPr>
            <w:r w:rsidRPr="7C05A0CD">
              <w:rPr>
                <w:rFonts w:ascii="Franklin Gothic Demi" w:eastAsia="Franklin Gothic Demi" w:hAnsi="Franklin Gothic Demi" w:cs="Franklin Gothic Demi"/>
                <w:color w:val="FFFFFF" w:themeColor="background1"/>
                <w:lang w:val="en-GB"/>
              </w:rPr>
              <w:t>How to do it?</w:t>
            </w:r>
          </w:p>
        </w:tc>
      </w:tr>
      <w:tr w:rsidR="009F5195" w:rsidRPr="0068053C" w14:paraId="7819394F" w14:textId="77777777" w:rsidTr="7C05A0CD">
        <w:trPr>
          <w:trHeight w:val="6517"/>
        </w:trPr>
        <w:tc>
          <w:tcPr>
            <w:tcW w:w="2404" w:type="dxa"/>
            <w:shd w:val="clear" w:color="auto" w:fill="F6D15E"/>
          </w:tcPr>
          <w:p w14:paraId="1008FE07" w14:textId="77777777" w:rsidR="009F5195" w:rsidRPr="008D1BCF" w:rsidRDefault="7C05A0CD" w:rsidP="7C05A0CD">
            <w:pPr>
              <w:spacing w:before="60" w:after="80"/>
              <w:rPr>
                <w:rFonts w:ascii="Franklin Gothic Demi" w:eastAsia="Franklin Gothic Demi" w:hAnsi="Franklin Gothic Demi" w:cs="Franklin Gothic Demi"/>
                <w:sz w:val="21"/>
                <w:szCs w:val="21"/>
                <w:lang w:val="en-GB"/>
              </w:rPr>
            </w:pPr>
            <w:r w:rsidRPr="7C05A0CD">
              <w:rPr>
                <w:rFonts w:ascii="Franklin Gothic Demi" w:eastAsia="Franklin Gothic Demi" w:hAnsi="Franklin Gothic Demi" w:cs="Franklin Gothic Demi"/>
                <w:sz w:val="21"/>
                <w:szCs w:val="21"/>
                <w:lang w:val="en-GB"/>
              </w:rPr>
              <w:t>Organise the meeting between “Givers” and “Takers”</w:t>
            </w:r>
          </w:p>
          <w:p w14:paraId="44060F9C" w14:textId="77777777" w:rsidR="009F5195" w:rsidRPr="008B588A" w:rsidRDefault="009F5195" w:rsidP="0011067A">
            <w:pPr>
              <w:spacing w:before="60" w:after="80"/>
              <w:rPr>
                <w:b/>
                <w:sz w:val="20"/>
                <w:szCs w:val="20"/>
                <w:lang w:val="en-GB"/>
              </w:rPr>
            </w:pPr>
          </w:p>
        </w:tc>
        <w:tc>
          <w:tcPr>
            <w:tcW w:w="6658" w:type="dxa"/>
            <w:shd w:val="clear" w:color="auto" w:fill="auto"/>
          </w:tcPr>
          <w:p w14:paraId="3791AEEF" w14:textId="77777777" w:rsidR="009F5195" w:rsidRPr="00FD27BC" w:rsidRDefault="7C05A0CD" w:rsidP="7C05A0CD">
            <w:pPr>
              <w:spacing w:before="60"/>
              <w:rPr>
                <w:rFonts w:ascii="Franklin Gothic Demi" w:eastAsia="Franklin Gothic Demi" w:hAnsi="Franklin Gothic Demi" w:cs="Franklin Gothic Demi"/>
                <w:sz w:val="21"/>
                <w:szCs w:val="21"/>
                <w:lang w:val="en-GB"/>
              </w:rPr>
            </w:pPr>
            <w:r w:rsidRPr="7C05A0CD">
              <w:rPr>
                <w:rFonts w:ascii="Franklin Gothic Demi" w:eastAsia="Franklin Gothic Demi" w:hAnsi="Franklin Gothic Demi" w:cs="Franklin Gothic Demi"/>
                <w:sz w:val="21"/>
                <w:szCs w:val="21"/>
                <w:lang w:val="en-GB"/>
              </w:rPr>
              <w:t>GENERAL APPROACH</w:t>
            </w:r>
          </w:p>
          <w:p w14:paraId="6AF0E9CD" w14:textId="77777777" w:rsidR="009F5195" w:rsidRPr="003C135D" w:rsidRDefault="7C05A0CD" w:rsidP="7C05A0CD">
            <w:pPr>
              <w:pStyle w:val="ListParagraph"/>
              <w:numPr>
                <w:ilvl w:val="0"/>
                <w:numId w:val="5"/>
              </w:numPr>
              <w:spacing w:before="60"/>
              <w:ind w:left="600" w:hanging="357"/>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 xml:space="preserve">To define a programme for the first meeting, whose content could be: </w:t>
            </w:r>
          </w:p>
          <w:p w14:paraId="37465BA7" w14:textId="77777777" w:rsidR="009F5195" w:rsidRPr="003C135D" w:rsidRDefault="7C05A0CD" w:rsidP="7C05A0CD">
            <w:pPr>
              <w:pStyle w:val="ListParagraph"/>
              <w:numPr>
                <w:ilvl w:val="1"/>
                <w:numId w:val="7"/>
              </w:numPr>
              <w:ind w:left="1025"/>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Presentation of the objectives and mains steps of a mainstreaming process</w:t>
            </w:r>
          </w:p>
          <w:p w14:paraId="2136EB03" w14:textId="77777777" w:rsidR="009F5195" w:rsidRPr="003C135D" w:rsidRDefault="7C05A0CD" w:rsidP="7C05A0CD">
            <w:pPr>
              <w:pStyle w:val="ListParagraph"/>
              <w:numPr>
                <w:ilvl w:val="1"/>
                <w:numId w:val="7"/>
              </w:numPr>
              <w:ind w:left="1025"/>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Detailed presentation of the output(s) and of the methodology</w:t>
            </w:r>
          </w:p>
          <w:p w14:paraId="52E2A7A8" w14:textId="77777777" w:rsidR="009F5195" w:rsidRPr="003C135D" w:rsidRDefault="7C05A0CD" w:rsidP="7C05A0CD">
            <w:pPr>
              <w:pStyle w:val="ListParagraph"/>
              <w:numPr>
                <w:ilvl w:val="1"/>
                <w:numId w:val="7"/>
              </w:numPr>
              <w:ind w:left="1025"/>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Discussion about the needs of the “Taker” and the way the outputs can contribute to fulfil these needs</w:t>
            </w:r>
          </w:p>
          <w:p w14:paraId="5C46C281" w14:textId="77777777" w:rsidR="009F5195" w:rsidRPr="003C135D" w:rsidRDefault="7C05A0CD" w:rsidP="7C05A0CD">
            <w:pPr>
              <w:pStyle w:val="ListParagraph"/>
              <w:numPr>
                <w:ilvl w:val="1"/>
                <w:numId w:val="7"/>
              </w:numPr>
              <w:ind w:left="1025"/>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First exchange about the activities to be implemented for the mainstreaming/transfer process (preparation of the “transfer plan” (see next box) and the distribution of roles</w:t>
            </w:r>
          </w:p>
          <w:p w14:paraId="21A0ACFA" w14:textId="77777777" w:rsidR="009F5195" w:rsidRPr="003C135D" w:rsidRDefault="7C05A0CD" w:rsidP="7C05A0CD">
            <w:pPr>
              <w:pStyle w:val="ListParagraph"/>
              <w:numPr>
                <w:ilvl w:val="0"/>
                <w:numId w:val="5"/>
              </w:numPr>
              <w:ind w:left="600"/>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 xml:space="preserve">Communication tools and arguments must be prepared to catch the attention of the potential takers (detailed presentation of the tool/outputs, added value for them to take part to the process…): </w:t>
            </w:r>
          </w:p>
          <w:p w14:paraId="2C18ABB1" w14:textId="77777777" w:rsidR="009F5195" w:rsidRPr="003C135D" w:rsidRDefault="7C05A0CD" w:rsidP="7C05A0CD">
            <w:pPr>
              <w:pStyle w:val="ListParagraph"/>
              <w:numPr>
                <w:ilvl w:val="0"/>
                <w:numId w:val="6"/>
              </w:numPr>
              <w:ind w:left="1025"/>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A tailor-made communication adapted to the audience</w:t>
            </w:r>
          </w:p>
          <w:p w14:paraId="497F79F8" w14:textId="77777777" w:rsidR="009F5195" w:rsidRPr="003C135D" w:rsidRDefault="7C05A0CD" w:rsidP="7C05A0CD">
            <w:pPr>
              <w:pStyle w:val="ListParagraph"/>
              <w:numPr>
                <w:ilvl w:val="0"/>
                <w:numId w:val="6"/>
              </w:numPr>
              <w:ind w:left="1025"/>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A web space was useful for collecting and presenting the relevant tools developed by the Modular Projects to promote the reuse of results of the Projects in the Community, by providing easy access to their outputs in the forms of “tools for policy making” (Social and Creative Community)</w:t>
            </w:r>
          </w:p>
          <w:p w14:paraId="3A7702AD" w14:textId="77777777" w:rsidR="009F5195" w:rsidRPr="003C135D" w:rsidRDefault="7C05A0CD" w:rsidP="7C05A0CD">
            <w:pPr>
              <w:pStyle w:val="ListParagraph"/>
              <w:numPr>
                <w:ilvl w:val="0"/>
                <w:numId w:val="5"/>
              </w:numPr>
              <w:ind w:left="600"/>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Involvement of the “Givers” in the discussion to eventually adjust their products to the Takers real needs and to support the transferring and mainstreaming process</w:t>
            </w:r>
          </w:p>
          <w:p w14:paraId="02AE69B0" w14:textId="77777777" w:rsidR="009F5195" w:rsidRPr="002623CB" w:rsidRDefault="7C05A0CD" w:rsidP="7C05A0CD">
            <w:pPr>
              <w:pStyle w:val="ListParagraph"/>
              <w:numPr>
                <w:ilvl w:val="0"/>
                <w:numId w:val="5"/>
              </w:numPr>
              <w:ind w:left="600"/>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Mainstreaming or transfer processes are long term and demanding activities. It is essential that the persons in charge are well identified and have appropriate time and resources to accomplish theirs tasks (on the side of the “Giver” and the “Taker”).</w:t>
            </w:r>
          </w:p>
        </w:tc>
      </w:tr>
    </w:tbl>
    <w:p w14:paraId="01962B2D" w14:textId="52ECAC9E" w:rsidR="00364972" w:rsidRDefault="00364972" w:rsidP="009F5195">
      <w:pPr>
        <w:spacing w:after="120" w:line="240" w:lineRule="auto"/>
        <w:rPr>
          <w:sz w:val="20"/>
          <w:szCs w:val="20"/>
          <w:lang w:val="en-GB"/>
        </w:rPr>
      </w:pPr>
    </w:p>
    <w:p w14:paraId="03283D2B" w14:textId="593E0A36" w:rsidR="00364972" w:rsidRDefault="00364972" w:rsidP="00364972">
      <w:pPr>
        <w:rPr>
          <w:sz w:val="20"/>
          <w:szCs w:val="20"/>
          <w:lang w:val="en-GB"/>
        </w:rPr>
      </w:pPr>
      <w:r>
        <w:rPr>
          <w:sz w:val="20"/>
          <w:szCs w:val="20"/>
          <w:lang w:val="en-GB"/>
        </w:rPr>
        <w:br w:type="page"/>
      </w:r>
    </w:p>
    <w:tbl>
      <w:tblPr>
        <w:tblStyle w:val="TableGrid"/>
        <w:tblW w:w="0" w:type="auto"/>
        <w:tblLook w:val="04A0" w:firstRow="1" w:lastRow="0" w:firstColumn="1" w:lastColumn="0" w:noHBand="0" w:noVBand="1"/>
      </w:tblPr>
      <w:tblGrid>
        <w:gridCol w:w="2330"/>
        <w:gridCol w:w="6732"/>
      </w:tblGrid>
      <w:tr w:rsidR="00364972" w:rsidRPr="00B735B5" w14:paraId="7C8E1675" w14:textId="77777777" w:rsidTr="002C4B61">
        <w:tc>
          <w:tcPr>
            <w:tcW w:w="9062" w:type="dxa"/>
            <w:gridSpan w:val="2"/>
            <w:shd w:val="clear" w:color="auto" w:fill="00517D"/>
          </w:tcPr>
          <w:p w14:paraId="39BF578A" w14:textId="77777777" w:rsidR="00364972" w:rsidRPr="00B735B5" w:rsidRDefault="00364972" w:rsidP="002C4B61">
            <w:pPr>
              <w:spacing w:before="120" w:after="120"/>
              <w:rPr>
                <w:b/>
                <w:bCs/>
                <w:color w:val="FFFFFF" w:themeColor="background1"/>
                <w:sz w:val="24"/>
                <w:szCs w:val="24"/>
                <w:lang w:val="en-GB"/>
              </w:rPr>
            </w:pPr>
            <w:r w:rsidRPr="7C05A0CD">
              <w:rPr>
                <w:sz w:val="20"/>
                <w:szCs w:val="20"/>
                <w:lang w:val="en-GB"/>
              </w:rPr>
              <w:lastRenderedPageBreak/>
              <w:br w:type="page"/>
            </w:r>
            <w:r w:rsidRPr="7C05A0CD">
              <w:rPr>
                <w:rFonts w:ascii="Franklin Gothic Demi" w:eastAsia="Franklin Gothic Demi" w:hAnsi="Franklin Gothic Demi" w:cs="Franklin Gothic Demi"/>
                <w:color w:val="FFFFFF" w:themeColor="background1"/>
                <w:lang w:val="en-GB"/>
              </w:rPr>
              <w:t>Topic 2: Drafting of the transfer/mainstreaming plan</w:t>
            </w:r>
          </w:p>
        </w:tc>
      </w:tr>
      <w:tr w:rsidR="00364972" w:rsidRPr="00110F51" w14:paraId="39EADCBA" w14:textId="77777777" w:rsidTr="002C4B61">
        <w:tc>
          <w:tcPr>
            <w:tcW w:w="9062" w:type="dxa"/>
            <w:gridSpan w:val="2"/>
            <w:shd w:val="clear" w:color="auto" w:fill="auto"/>
          </w:tcPr>
          <w:p w14:paraId="720088BA" w14:textId="77777777" w:rsidR="00364972" w:rsidRPr="00CE654E" w:rsidRDefault="00364972" w:rsidP="002C4B61">
            <w:pPr>
              <w:spacing w:before="80" w:after="120"/>
              <w:rPr>
                <w:rFonts w:ascii="Franklin Gothic Demi" w:eastAsia="Franklin Gothic Demi" w:hAnsi="Franklin Gothic Demi" w:cs="Franklin Gothic Demi"/>
                <w:color w:val="000000" w:themeColor="text1"/>
                <w:sz w:val="21"/>
                <w:szCs w:val="21"/>
                <w:lang w:val="en-GB"/>
              </w:rPr>
            </w:pPr>
            <w:r w:rsidRPr="7C05A0CD">
              <w:rPr>
                <w:rFonts w:ascii="Franklin Gothic Demi" w:eastAsia="Franklin Gothic Demi" w:hAnsi="Franklin Gothic Demi" w:cs="Franklin Gothic Demi"/>
                <w:color w:val="000000" w:themeColor="text1"/>
                <w:sz w:val="21"/>
                <w:szCs w:val="21"/>
                <w:lang w:val="en-GB"/>
              </w:rPr>
              <w:t>Context / feedback from the experimentation</w:t>
            </w:r>
          </w:p>
          <w:p w14:paraId="198A3C16" w14:textId="77777777" w:rsidR="00364972" w:rsidRPr="00CE654E" w:rsidRDefault="00364972" w:rsidP="002C4B61">
            <w:pPr>
              <w:spacing w:before="120" w:after="60"/>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The objective of the transfer plan is to specify in a detailed way how the mainstreaming or transfer activities will be implemented.</w:t>
            </w:r>
          </w:p>
          <w:p w14:paraId="672FDCD9" w14:textId="77777777" w:rsidR="00364972" w:rsidRDefault="00364972" w:rsidP="002C4B61">
            <w:pPr>
              <w:spacing w:after="80"/>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At the start of the process, stakeholders (external experts, Givers and Takers) defined indeed their working programme and main activities. However, transfer plans had to be adapted regularly to take into account changing context and constraints (administrative issues, political agenda…).</w:t>
            </w:r>
          </w:p>
          <w:p w14:paraId="32386E43" w14:textId="77777777" w:rsidR="00364972" w:rsidRPr="00110F51" w:rsidRDefault="00364972" w:rsidP="002C4B61">
            <w:pPr>
              <w:spacing w:after="80"/>
              <w:rPr>
                <w:sz w:val="20"/>
                <w:szCs w:val="20"/>
                <w:lang w:val="en-GB"/>
              </w:rPr>
            </w:pPr>
          </w:p>
        </w:tc>
      </w:tr>
      <w:tr w:rsidR="00364972" w:rsidRPr="004B5B47" w14:paraId="5E441565" w14:textId="77777777" w:rsidTr="002C4B61">
        <w:trPr>
          <w:trHeight w:val="742"/>
        </w:trPr>
        <w:tc>
          <w:tcPr>
            <w:tcW w:w="2330" w:type="dxa"/>
            <w:shd w:val="clear" w:color="auto" w:fill="8EBED1"/>
            <w:vAlign w:val="center"/>
          </w:tcPr>
          <w:p w14:paraId="0222A3FD" w14:textId="77777777" w:rsidR="00364972" w:rsidRPr="00CE654E" w:rsidRDefault="00364972" w:rsidP="002C4B61">
            <w:pPr>
              <w:spacing w:before="40" w:after="40"/>
              <w:jc w:val="center"/>
              <w:rPr>
                <w:rFonts w:ascii="Franklin Gothic Demi" w:eastAsia="Franklin Gothic Demi" w:hAnsi="Franklin Gothic Demi" w:cs="Franklin Gothic Demi"/>
                <w:color w:val="FFFFFF" w:themeColor="background1"/>
                <w:lang w:val="en-GB"/>
              </w:rPr>
            </w:pPr>
            <w:r w:rsidRPr="7C05A0CD">
              <w:rPr>
                <w:rFonts w:ascii="Franklin Gothic Demi" w:eastAsia="Franklin Gothic Demi" w:hAnsi="Franklin Gothic Demi" w:cs="Franklin Gothic Demi"/>
                <w:color w:val="FFFFFF" w:themeColor="background1"/>
                <w:lang w:val="en-GB"/>
              </w:rPr>
              <w:t>What to do?</w:t>
            </w:r>
          </w:p>
        </w:tc>
        <w:tc>
          <w:tcPr>
            <w:tcW w:w="6732" w:type="dxa"/>
            <w:shd w:val="clear" w:color="auto" w:fill="8EBED1"/>
            <w:vAlign w:val="center"/>
          </w:tcPr>
          <w:p w14:paraId="05F9E147" w14:textId="77777777" w:rsidR="00364972" w:rsidRPr="004B5B47" w:rsidRDefault="00364972" w:rsidP="002C4B61">
            <w:pPr>
              <w:spacing w:before="40" w:after="40"/>
              <w:jc w:val="center"/>
              <w:rPr>
                <w:rFonts w:ascii="Franklin Gothic Demi" w:eastAsia="Franklin Gothic Demi" w:hAnsi="Franklin Gothic Demi" w:cs="Franklin Gothic Demi"/>
                <w:i/>
                <w:iCs/>
                <w:color w:val="FFFFFF" w:themeColor="background1"/>
                <w:lang w:val="en-GB"/>
              </w:rPr>
            </w:pPr>
            <w:r w:rsidRPr="7C05A0CD">
              <w:rPr>
                <w:rFonts w:ascii="Franklin Gothic Demi" w:eastAsia="Franklin Gothic Demi" w:hAnsi="Franklin Gothic Demi" w:cs="Franklin Gothic Demi"/>
                <w:color w:val="FFFFFF" w:themeColor="background1"/>
                <w:lang w:val="en-GB"/>
              </w:rPr>
              <w:t>How to do it?</w:t>
            </w:r>
          </w:p>
        </w:tc>
      </w:tr>
      <w:tr w:rsidR="00364972" w:rsidRPr="00EA3F34" w14:paraId="56F49A2A" w14:textId="77777777" w:rsidTr="002C4B61">
        <w:trPr>
          <w:trHeight w:val="5383"/>
        </w:trPr>
        <w:tc>
          <w:tcPr>
            <w:tcW w:w="2330" w:type="dxa"/>
            <w:shd w:val="clear" w:color="auto" w:fill="F6D15E"/>
          </w:tcPr>
          <w:p w14:paraId="74F5A1CA" w14:textId="77777777" w:rsidR="00364972" w:rsidRPr="008D1BCF" w:rsidRDefault="00364972" w:rsidP="002C4B61">
            <w:pPr>
              <w:spacing w:before="80" w:after="80"/>
              <w:rPr>
                <w:rFonts w:ascii="Franklin Gothic Demi" w:eastAsia="Franklin Gothic Demi" w:hAnsi="Franklin Gothic Demi" w:cs="Franklin Gothic Demi"/>
                <w:sz w:val="21"/>
                <w:szCs w:val="21"/>
                <w:lang w:val="en-GB"/>
              </w:rPr>
            </w:pPr>
            <w:r w:rsidRPr="7C05A0CD">
              <w:rPr>
                <w:rFonts w:ascii="Franklin Gothic Demi" w:eastAsia="Franklin Gothic Demi" w:hAnsi="Franklin Gothic Demi" w:cs="Franklin Gothic Demi"/>
                <w:sz w:val="21"/>
                <w:szCs w:val="21"/>
                <w:lang w:val="en-GB"/>
              </w:rPr>
              <w:t>Prepare the transfer</w:t>
            </w:r>
          </w:p>
        </w:tc>
        <w:tc>
          <w:tcPr>
            <w:tcW w:w="6732" w:type="dxa"/>
            <w:shd w:val="clear" w:color="auto" w:fill="FFFFFF" w:themeFill="background1"/>
          </w:tcPr>
          <w:p w14:paraId="0E4CB8B3" w14:textId="77777777" w:rsidR="00364972" w:rsidRPr="00EA3F34" w:rsidRDefault="00364972" w:rsidP="002C4B61">
            <w:pPr>
              <w:spacing w:before="80" w:after="80"/>
              <w:rPr>
                <w:b/>
                <w:bCs/>
                <w:sz w:val="20"/>
                <w:szCs w:val="20"/>
                <w:u w:val="single"/>
                <w:lang w:val="en-GB"/>
              </w:rPr>
            </w:pPr>
            <w:r w:rsidRPr="00EA3F34">
              <w:rPr>
                <w:b/>
                <w:bCs/>
                <w:sz w:val="20"/>
                <w:szCs w:val="20"/>
                <w:u w:val="single"/>
                <w:lang w:val="en-GB"/>
              </w:rPr>
              <w:t>GENERAL APPROACH</w:t>
            </w:r>
          </w:p>
          <w:p w14:paraId="30565750" w14:textId="77777777" w:rsidR="00364972" w:rsidRPr="00EA3F34" w:rsidRDefault="00364972" w:rsidP="002C4B61">
            <w:pPr>
              <w:pStyle w:val="ListParagraph"/>
              <w:numPr>
                <w:ilvl w:val="0"/>
                <w:numId w:val="9"/>
              </w:numPr>
              <w:spacing w:before="80" w:after="120"/>
              <w:ind w:left="600" w:hanging="357"/>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To think about the transferring modalities: definition of a set of transferring modalities and evaluation of the best way to transfer each produced tools and input, also in function of the Takers of each tool</w:t>
            </w:r>
          </w:p>
          <w:p w14:paraId="7B6058F2" w14:textId="77777777" w:rsidR="00364972" w:rsidRPr="00EA3F34" w:rsidRDefault="00364972" w:rsidP="002C4B61">
            <w:pPr>
              <w:pStyle w:val="ListParagraph"/>
              <w:numPr>
                <w:ilvl w:val="0"/>
                <w:numId w:val="9"/>
              </w:numPr>
              <w:spacing w:after="120"/>
              <w:ind w:left="600" w:hanging="357"/>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To create the governance among stakeholders, such as the setting-up of an Advisory board and thematic working groups</w:t>
            </w:r>
          </w:p>
          <w:p w14:paraId="3A4147A8" w14:textId="77777777" w:rsidR="00364972" w:rsidRPr="00EA3F34" w:rsidRDefault="00364972" w:rsidP="002C4B61">
            <w:pPr>
              <w:pStyle w:val="ListParagraph"/>
              <w:numPr>
                <w:ilvl w:val="0"/>
                <w:numId w:val="9"/>
              </w:numPr>
              <w:spacing w:after="120"/>
              <w:ind w:left="600" w:hanging="357"/>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To co-elaborate a detailed transfer plan at the start of the process with objectives, main activities, meetings, events and a detailed timeline for the implementation of steps and tasks.</w:t>
            </w:r>
          </w:p>
          <w:p w14:paraId="7566C8BA" w14:textId="77777777" w:rsidR="00364972" w:rsidRPr="00EA3F34" w:rsidRDefault="00364972" w:rsidP="002C4B61">
            <w:pPr>
              <w:pStyle w:val="ListParagraph"/>
              <w:numPr>
                <w:ilvl w:val="0"/>
                <w:numId w:val="9"/>
              </w:numPr>
              <w:spacing w:after="120"/>
              <w:ind w:left="600" w:hanging="357"/>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This transfer plan should detail each step:</w:t>
            </w:r>
          </w:p>
          <w:p w14:paraId="032F7977" w14:textId="77777777" w:rsidR="00364972" w:rsidRPr="00EA3F34" w:rsidRDefault="00364972" w:rsidP="002C4B61">
            <w:pPr>
              <w:pStyle w:val="ListParagraph"/>
              <w:numPr>
                <w:ilvl w:val="1"/>
                <w:numId w:val="8"/>
              </w:numPr>
              <w:spacing w:after="120"/>
              <w:ind w:left="1167" w:hanging="357"/>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Drafting of preparatory documents needed for the transfer: information or technical documents, analyses, methodology</w:t>
            </w:r>
          </w:p>
          <w:p w14:paraId="4F53814D" w14:textId="77777777" w:rsidR="00364972" w:rsidRPr="00EA3F34" w:rsidRDefault="00364972" w:rsidP="002C4B61">
            <w:pPr>
              <w:pStyle w:val="ListParagraph"/>
              <w:numPr>
                <w:ilvl w:val="1"/>
                <w:numId w:val="8"/>
              </w:numPr>
              <w:spacing w:after="120"/>
              <w:ind w:left="1167" w:hanging="357"/>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Organisation of working sessions between giver and taker</w:t>
            </w:r>
          </w:p>
          <w:p w14:paraId="51945438" w14:textId="77777777" w:rsidR="00364972" w:rsidRPr="00EA3F34" w:rsidRDefault="00364972" w:rsidP="002C4B61">
            <w:pPr>
              <w:pStyle w:val="ListParagraph"/>
              <w:numPr>
                <w:ilvl w:val="1"/>
                <w:numId w:val="8"/>
              </w:numPr>
              <w:spacing w:after="120"/>
              <w:ind w:left="1167" w:hanging="357"/>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Communication activities to accompany the transfer process; dissemination of mainstreaming documents</w:t>
            </w:r>
          </w:p>
          <w:p w14:paraId="426FD2BE" w14:textId="77777777" w:rsidR="00364972" w:rsidRPr="00EA3F34" w:rsidRDefault="00364972" w:rsidP="002C4B61">
            <w:pPr>
              <w:pStyle w:val="ListParagraph"/>
              <w:numPr>
                <w:ilvl w:val="1"/>
                <w:numId w:val="8"/>
              </w:numPr>
              <w:spacing w:after="120"/>
              <w:ind w:left="1167" w:hanging="357"/>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Participation to events and seminars at EU, national, regional level…</w:t>
            </w:r>
          </w:p>
        </w:tc>
      </w:tr>
    </w:tbl>
    <w:p w14:paraId="3D82BD6E" w14:textId="7903001C" w:rsidR="009F5195" w:rsidRDefault="009F5195" w:rsidP="009F5195">
      <w:pPr>
        <w:spacing w:after="120" w:line="240" w:lineRule="auto"/>
        <w:rPr>
          <w:sz w:val="20"/>
          <w:szCs w:val="20"/>
          <w:lang w:val="en-GB"/>
        </w:rPr>
      </w:pPr>
      <w:r>
        <w:rPr>
          <w:sz w:val="20"/>
          <w:szCs w:val="20"/>
          <w:lang w:val="en-GB"/>
        </w:rPr>
        <w:br w:type="page"/>
      </w:r>
    </w:p>
    <w:p w14:paraId="40F87730" w14:textId="17013C2A" w:rsidR="00364972" w:rsidRDefault="00364972" w:rsidP="009F5195">
      <w:pPr>
        <w:spacing w:after="120" w:line="240" w:lineRule="auto"/>
        <w:rPr>
          <w:sz w:val="20"/>
          <w:szCs w:val="20"/>
          <w:lang w:val="en-GB"/>
        </w:rPr>
      </w:pPr>
    </w:p>
    <w:p w14:paraId="256DD4ED" w14:textId="77777777" w:rsidR="00364972" w:rsidRDefault="00364972" w:rsidP="009F5195">
      <w:pPr>
        <w:spacing w:after="120" w:line="240" w:lineRule="auto"/>
        <w:rPr>
          <w:sz w:val="20"/>
          <w:szCs w:val="20"/>
          <w:lang w:val="en-GB"/>
        </w:rPr>
      </w:pPr>
    </w:p>
    <w:tbl>
      <w:tblPr>
        <w:tblStyle w:val="TableGrid"/>
        <w:tblW w:w="0" w:type="auto"/>
        <w:tblLook w:val="04A0" w:firstRow="1" w:lastRow="0" w:firstColumn="1" w:lastColumn="0" w:noHBand="0" w:noVBand="1"/>
      </w:tblPr>
      <w:tblGrid>
        <w:gridCol w:w="2446"/>
        <w:gridCol w:w="6616"/>
      </w:tblGrid>
      <w:tr w:rsidR="009F5195" w:rsidRPr="0068053C" w14:paraId="22929C4E" w14:textId="77777777" w:rsidTr="7C05A0CD">
        <w:tc>
          <w:tcPr>
            <w:tcW w:w="9062" w:type="dxa"/>
            <w:gridSpan w:val="2"/>
            <w:shd w:val="clear" w:color="auto" w:fill="00517D"/>
          </w:tcPr>
          <w:p w14:paraId="5BA9F7C1" w14:textId="77777777" w:rsidR="009F5195" w:rsidRPr="00B735B5" w:rsidRDefault="7C05A0CD" w:rsidP="7C05A0CD">
            <w:pPr>
              <w:spacing w:before="120" w:after="120"/>
              <w:rPr>
                <w:rFonts w:ascii="Franklin Gothic Demi" w:eastAsia="Franklin Gothic Demi" w:hAnsi="Franklin Gothic Demi" w:cs="Franklin Gothic Demi"/>
                <w:color w:val="FFFFFF" w:themeColor="background1"/>
                <w:lang w:val="en-GB"/>
              </w:rPr>
            </w:pPr>
            <w:r w:rsidRPr="7C05A0CD">
              <w:rPr>
                <w:rFonts w:ascii="Franklin Gothic Demi" w:eastAsia="Franklin Gothic Demi" w:hAnsi="Franklin Gothic Demi" w:cs="Franklin Gothic Demi"/>
                <w:color w:val="FFFFFF" w:themeColor="background1"/>
                <w:lang w:val="en-GB"/>
              </w:rPr>
              <w:t>Topic 3: Implementation of the transfer/mainstreaming plan</w:t>
            </w:r>
          </w:p>
        </w:tc>
      </w:tr>
      <w:tr w:rsidR="009F5195" w:rsidRPr="0068053C" w14:paraId="384035A7" w14:textId="77777777" w:rsidTr="7C05A0CD">
        <w:tc>
          <w:tcPr>
            <w:tcW w:w="9062" w:type="dxa"/>
            <w:gridSpan w:val="2"/>
            <w:shd w:val="clear" w:color="auto" w:fill="auto"/>
          </w:tcPr>
          <w:p w14:paraId="6D83131B" w14:textId="77777777" w:rsidR="009F5195" w:rsidRPr="00261DC0" w:rsidRDefault="7C05A0CD" w:rsidP="7C05A0CD">
            <w:pPr>
              <w:spacing w:before="80" w:after="120"/>
              <w:rPr>
                <w:rFonts w:ascii="Franklin Gothic Demi" w:eastAsia="Franklin Gothic Demi" w:hAnsi="Franklin Gothic Demi" w:cs="Franklin Gothic Demi"/>
                <w:color w:val="000000" w:themeColor="text1"/>
                <w:sz w:val="21"/>
                <w:szCs w:val="21"/>
                <w:lang w:val="en-GB"/>
              </w:rPr>
            </w:pPr>
            <w:r w:rsidRPr="7C05A0CD">
              <w:rPr>
                <w:rFonts w:ascii="Franklin Gothic Demi" w:eastAsia="Franklin Gothic Demi" w:hAnsi="Franklin Gothic Demi" w:cs="Franklin Gothic Demi"/>
                <w:color w:val="000000" w:themeColor="text1"/>
                <w:sz w:val="21"/>
                <w:szCs w:val="21"/>
                <w:lang w:val="en-GB"/>
              </w:rPr>
              <w:t>Context / feedback from the experimentation</w:t>
            </w:r>
          </w:p>
          <w:p w14:paraId="5880EA8B" w14:textId="77777777" w:rsidR="009F5195" w:rsidRPr="00261DC0" w:rsidRDefault="7C05A0CD" w:rsidP="7C05A0CD">
            <w:pPr>
              <w:spacing w:before="120" w:after="60"/>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In order to be efficiently implemented, the transfer plan requires a pro-active management and a strong involvement of the stakeholders (Givers and Takers).</w:t>
            </w:r>
          </w:p>
          <w:p w14:paraId="64B2BA86" w14:textId="77777777" w:rsidR="009F5195" w:rsidRPr="00031E3E" w:rsidRDefault="7C05A0CD" w:rsidP="7C05A0CD">
            <w:pPr>
              <w:spacing w:after="60"/>
              <w:rPr>
                <w:rFonts w:ascii="Franklin Gothic Book" w:eastAsia="Franklin Gothic Book" w:hAnsi="Franklin Gothic Book" w:cs="Franklin Gothic Book"/>
                <w:sz w:val="21"/>
                <w:szCs w:val="21"/>
                <w:u w:val="single"/>
                <w:lang w:val="en-GB"/>
              </w:rPr>
            </w:pPr>
            <w:r w:rsidRPr="7C05A0CD">
              <w:rPr>
                <w:rFonts w:ascii="Franklin Gothic Book" w:eastAsia="Franklin Gothic Book" w:hAnsi="Franklin Gothic Book" w:cs="Franklin Gothic Book"/>
                <w:sz w:val="21"/>
                <w:szCs w:val="21"/>
                <w:u w:val="single"/>
                <w:lang w:val="en-GB"/>
              </w:rPr>
              <w:t>Our experience from first experimentations has enhanced main issues to be considered for a successful transfer process:</w:t>
            </w:r>
          </w:p>
          <w:p w14:paraId="37AA9354" w14:textId="77777777" w:rsidR="009F5195" w:rsidRPr="00031E3E" w:rsidRDefault="7C05A0CD" w:rsidP="7C05A0CD">
            <w:pPr>
              <w:pStyle w:val="ListParagraph"/>
              <w:numPr>
                <w:ilvl w:val="0"/>
                <w:numId w:val="4"/>
              </w:numPr>
              <w:spacing w:after="60"/>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Clear identification of persons in charge of the process (operational implementation)</w:t>
            </w:r>
          </w:p>
          <w:p w14:paraId="25E2BF88" w14:textId="77777777" w:rsidR="009F5195" w:rsidRPr="00261DC0" w:rsidRDefault="7C05A0CD" w:rsidP="7C05A0CD">
            <w:pPr>
              <w:pStyle w:val="ListParagraph"/>
              <w:numPr>
                <w:ilvl w:val="0"/>
                <w:numId w:val="4"/>
              </w:numPr>
              <w:spacing w:after="60"/>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Regular exchange between the Giver and the Taker about the implementation of activities (every two/three weeks minimum)</w:t>
            </w:r>
          </w:p>
          <w:p w14:paraId="06DA78DC" w14:textId="77777777" w:rsidR="009F5195" w:rsidRPr="00261DC0" w:rsidRDefault="7C05A0CD" w:rsidP="7C05A0CD">
            <w:pPr>
              <w:pStyle w:val="ListParagraph"/>
              <w:numPr>
                <w:ilvl w:val="0"/>
                <w:numId w:val="4"/>
              </w:numPr>
              <w:spacing w:after="60"/>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Working meetings to exchange about the process and address organisational, technical, administrative questions…</w:t>
            </w:r>
          </w:p>
          <w:p w14:paraId="065B4919" w14:textId="77777777" w:rsidR="009F5195" w:rsidRPr="00261DC0" w:rsidRDefault="7C05A0CD" w:rsidP="7C05A0CD">
            <w:pPr>
              <w:spacing w:after="60"/>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During the experimentation, animation was provided by external experts. Then, the Givers were asked to take the lead and to manage the process with the Takers. The results were uneven from one territory to another and showed the importance to have a manager committed to this task.</w:t>
            </w:r>
          </w:p>
          <w:p w14:paraId="770FE7E5" w14:textId="77777777" w:rsidR="009F5195" w:rsidRPr="00261DC0" w:rsidRDefault="009F5195" w:rsidP="0011067A">
            <w:pPr>
              <w:spacing w:after="60"/>
              <w:rPr>
                <w:b/>
                <w:bCs/>
                <w:sz w:val="20"/>
                <w:szCs w:val="20"/>
                <w:u w:val="single"/>
                <w:lang w:val="en-GB"/>
              </w:rPr>
            </w:pPr>
          </w:p>
        </w:tc>
      </w:tr>
      <w:tr w:rsidR="009F5195" w:rsidRPr="00EE6529" w14:paraId="674E8936" w14:textId="77777777" w:rsidTr="7C05A0CD">
        <w:trPr>
          <w:trHeight w:val="742"/>
        </w:trPr>
        <w:tc>
          <w:tcPr>
            <w:tcW w:w="1696" w:type="dxa"/>
            <w:shd w:val="clear" w:color="auto" w:fill="8EBED1"/>
            <w:vAlign w:val="center"/>
          </w:tcPr>
          <w:p w14:paraId="12570C15" w14:textId="77777777" w:rsidR="009F5195" w:rsidRPr="00CE654E" w:rsidRDefault="7C05A0CD" w:rsidP="7C05A0CD">
            <w:pPr>
              <w:spacing w:before="40" w:after="40"/>
              <w:jc w:val="center"/>
              <w:rPr>
                <w:rFonts w:ascii="Franklin Gothic Demi" w:eastAsia="Franklin Gothic Demi" w:hAnsi="Franklin Gothic Demi" w:cs="Franklin Gothic Demi"/>
                <w:color w:val="FFFFFF" w:themeColor="background1"/>
                <w:lang w:val="en-GB"/>
              </w:rPr>
            </w:pPr>
            <w:r w:rsidRPr="7C05A0CD">
              <w:rPr>
                <w:rFonts w:ascii="Franklin Gothic Demi" w:eastAsia="Franklin Gothic Demi" w:hAnsi="Franklin Gothic Demi" w:cs="Franklin Gothic Demi"/>
                <w:color w:val="FFFFFF" w:themeColor="background1"/>
                <w:lang w:val="en-GB"/>
              </w:rPr>
              <w:t>What to do?</w:t>
            </w:r>
          </w:p>
        </w:tc>
        <w:tc>
          <w:tcPr>
            <w:tcW w:w="7366" w:type="dxa"/>
            <w:shd w:val="clear" w:color="auto" w:fill="8EBED1"/>
            <w:vAlign w:val="center"/>
          </w:tcPr>
          <w:p w14:paraId="30772EE3" w14:textId="77777777" w:rsidR="009F5195" w:rsidRPr="003C135D" w:rsidRDefault="7C05A0CD" w:rsidP="7C05A0CD">
            <w:pPr>
              <w:spacing w:before="40" w:after="40"/>
              <w:jc w:val="center"/>
              <w:rPr>
                <w:rFonts w:ascii="Franklin Gothic Demi" w:eastAsia="Franklin Gothic Demi" w:hAnsi="Franklin Gothic Demi" w:cs="Franklin Gothic Demi"/>
                <w:i/>
                <w:iCs/>
                <w:color w:val="FFFFFF" w:themeColor="background1"/>
                <w:lang w:val="en-GB"/>
              </w:rPr>
            </w:pPr>
            <w:r w:rsidRPr="7C05A0CD">
              <w:rPr>
                <w:rFonts w:ascii="Franklin Gothic Demi" w:eastAsia="Franklin Gothic Demi" w:hAnsi="Franklin Gothic Demi" w:cs="Franklin Gothic Demi"/>
                <w:color w:val="FFFFFF" w:themeColor="background1"/>
                <w:lang w:val="en-GB"/>
              </w:rPr>
              <w:t>How to do it?</w:t>
            </w:r>
          </w:p>
        </w:tc>
      </w:tr>
      <w:tr w:rsidR="009F5195" w:rsidRPr="0068053C" w14:paraId="53167142" w14:textId="77777777" w:rsidTr="7C05A0CD">
        <w:trPr>
          <w:trHeight w:val="969"/>
        </w:trPr>
        <w:tc>
          <w:tcPr>
            <w:tcW w:w="1696" w:type="dxa"/>
            <w:shd w:val="clear" w:color="auto" w:fill="F6D15E"/>
          </w:tcPr>
          <w:p w14:paraId="4AF2D926" w14:textId="77777777" w:rsidR="009F5195" w:rsidRPr="00F65E25" w:rsidRDefault="7C05A0CD" w:rsidP="7C05A0CD">
            <w:pPr>
              <w:spacing w:before="60" w:after="80"/>
              <w:rPr>
                <w:rFonts w:ascii="Franklin Gothic Demi" w:eastAsia="Franklin Gothic Demi" w:hAnsi="Franklin Gothic Demi" w:cs="Franklin Gothic Demi"/>
                <w:sz w:val="21"/>
                <w:szCs w:val="21"/>
                <w:lang w:val="en-GB"/>
              </w:rPr>
            </w:pPr>
            <w:r w:rsidRPr="7C05A0CD">
              <w:rPr>
                <w:rFonts w:ascii="Franklin Gothic Demi" w:eastAsia="Franklin Gothic Demi" w:hAnsi="Franklin Gothic Demi" w:cs="Franklin Gothic Demi"/>
                <w:sz w:val="21"/>
                <w:szCs w:val="21"/>
                <w:lang w:val="en-GB"/>
              </w:rPr>
              <w:t>Implement the transfer/mainstreaming process</w:t>
            </w:r>
          </w:p>
        </w:tc>
        <w:tc>
          <w:tcPr>
            <w:tcW w:w="7366" w:type="dxa"/>
            <w:shd w:val="clear" w:color="auto" w:fill="FFFFFF" w:themeFill="background1"/>
          </w:tcPr>
          <w:p w14:paraId="61815C4C" w14:textId="77777777" w:rsidR="009F5195" w:rsidRPr="00A064EC" w:rsidRDefault="7C05A0CD" w:rsidP="7C05A0CD">
            <w:pPr>
              <w:spacing w:before="60" w:after="80"/>
              <w:jc w:val="both"/>
              <w:rPr>
                <w:rFonts w:ascii="Franklin Gothic Demi" w:eastAsia="Franklin Gothic Demi" w:hAnsi="Franklin Gothic Demi" w:cs="Franklin Gothic Demi"/>
                <w:sz w:val="21"/>
                <w:szCs w:val="21"/>
                <w:lang w:val="en-GB"/>
              </w:rPr>
            </w:pPr>
            <w:r w:rsidRPr="7C05A0CD">
              <w:rPr>
                <w:rFonts w:ascii="Franklin Gothic Demi" w:eastAsia="Franklin Gothic Demi" w:hAnsi="Franklin Gothic Demi" w:cs="Franklin Gothic Demi"/>
                <w:sz w:val="21"/>
                <w:szCs w:val="21"/>
                <w:lang w:val="en-GB"/>
              </w:rPr>
              <w:t>GENERAL APPROACH</w:t>
            </w:r>
          </w:p>
          <w:p w14:paraId="3ABEB31D" w14:textId="77777777" w:rsidR="009F5195" w:rsidRPr="00A064EC" w:rsidRDefault="7C05A0CD" w:rsidP="7C05A0CD">
            <w:pPr>
              <w:pStyle w:val="ListParagraph"/>
              <w:numPr>
                <w:ilvl w:val="0"/>
                <w:numId w:val="10"/>
              </w:numPr>
              <w:spacing w:before="60" w:after="80"/>
              <w:ind w:left="596"/>
              <w:jc w:val="both"/>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To have a manager committed in charge of the moderation and the leading of the process. Usually, this manager is on the side of the Giver. One of his tasks is to accompany the Taker in the realisation of its activities (if Takers are lefts alone, there is a risk of demobilisation).</w:t>
            </w:r>
          </w:p>
          <w:p w14:paraId="40EA41C4" w14:textId="77777777" w:rsidR="009F5195" w:rsidRPr="00A064EC" w:rsidRDefault="7C05A0CD" w:rsidP="7C05A0CD">
            <w:pPr>
              <w:pStyle w:val="ListParagraph"/>
              <w:numPr>
                <w:ilvl w:val="0"/>
                <w:numId w:val="10"/>
              </w:numPr>
              <w:spacing w:after="80"/>
              <w:ind w:left="596"/>
              <w:jc w:val="both"/>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To provide adequate resources to maintain the mobilisation of stakeholders. The results strongly depend on the involvement of stakeholders and on the willingness of Givers and Takers to achieve concrete results. Modest objectives with motivated stakeholders will produce more results than high level objectives with partners that are not involved.</w:t>
            </w:r>
          </w:p>
          <w:p w14:paraId="75E9DB0F" w14:textId="77777777" w:rsidR="009F5195" w:rsidRPr="00A064EC" w:rsidRDefault="7C05A0CD" w:rsidP="7C05A0CD">
            <w:pPr>
              <w:pStyle w:val="ListParagraph"/>
              <w:numPr>
                <w:ilvl w:val="0"/>
                <w:numId w:val="10"/>
              </w:numPr>
              <w:spacing w:after="80"/>
              <w:ind w:left="596"/>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 xml:space="preserve">Be flexible on the implementation of the transfer plan and maintain close contact between the Giver and the Taker with regular updates. </w:t>
            </w:r>
          </w:p>
          <w:p w14:paraId="2785CD01" w14:textId="77777777" w:rsidR="009F5195" w:rsidRPr="00A064EC" w:rsidRDefault="7C05A0CD" w:rsidP="7C05A0CD">
            <w:pPr>
              <w:pStyle w:val="ListParagraph"/>
              <w:numPr>
                <w:ilvl w:val="0"/>
                <w:numId w:val="10"/>
              </w:numPr>
              <w:spacing w:after="80"/>
              <w:ind w:left="596"/>
              <w:rPr>
                <w:rFonts w:ascii="Franklin Gothic Book" w:eastAsia="Franklin Gothic Book" w:hAnsi="Franklin Gothic Book" w:cs="Franklin Gothic Book"/>
                <w:sz w:val="21"/>
                <w:szCs w:val="21"/>
                <w:lang w:val="en-GB"/>
              </w:rPr>
            </w:pPr>
            <w:r w:rsidRPr="7C05A0CD">
              <w:rPr>
                <w:rFonts w:ascii="Franklin Gothic Book" w:eastAsia="Franklin Gothic Book" w:hAnsi="Franklin Gothic Book" w:cs="Franklin Gothic Book"/>
                <w:sz w:val="21"/>
                <w:szCs w:val="21"/>
                <w:lang w:val="en-GB"/>
              </w:rPr>
              <w:t>If relevant, organisation of transferring workshops or events – congress, International conferences, Forums…</w:t>
            </w:r>
          </w:p>
        </w:tc>
      </w:tr>
    </w:tbl>
    <w:p w14:paraId="4B635C79" w14:textId="77777777" w:rsidR="009F5195" w:rsidRPr="009F5195" w:rsidRDefault="009F5195">
      <w:pPr>
        <w:rPr>
          <w:lang w:val="en-GB"/>
        </w:rPr>
      </w:pPr>
    </w:p>
    <w:sectPr w:rsidR="009F5195" w:rsidRPr="009F51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D778B"/>
    <w:multiLevelType w:val="hybridMultilevel"/>
    <w:tmpl w:val="A62A194E"/>
    <w:lvl w:ilvl="0" w:tplc="D92862D6">
      <w:numFmt w:val="bullet"/>
      <w:lvlText w:val=""/>
      <w:lvlJc w:val="left"/>
      <w:pPr>
        <w:ind w:left="720" w:hanging="360"/>
      </w:pPr>
      <w:rPr>
        <w:rFonts w:ascii="Wingdings" w:hAnsi="Wingdings" w:cs="Times New Roman" w:hint="default"/>
      </w:rPr>
    </w:lvl>
    <w:lvl w:ilvl="1" w:tplc="5DCE1612">
      <w:start w:val="1"/>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C902C2"/>
    <w:multiLevelType w:val="hybridMultilevel"/>
    <w:tmpl w:val="133C351C"/>
    <w:lvl w:ilvl="0" w:tplc="9F621D76">
      <w:start w:val="17"/>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8CF6D1A"/>
    <w:multiLevelType w:val="hybridMultilevel"/>
    <w:tmpl w:val="8CD088C8"/>
    <w:lvl w:ilvl="0" w:tplc="9F621D76">
      <w:start w:val="17"/>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7F0D9E"/>
    <w:multiLevelType w:val="hybridMultilevel"/>
    <w:tmpl w:val="4D309BD0"/>
    <w:lvl w:ilvl="0" w:tplc="26CEF290">
      <w:start w:val="1"/>
      <w:numFmt w:val="bullet"/>
      <w:lvlText w:val=""/>
      <w:lvlJc w:val="left"/>
      <w:pPr>
        <w:tabs>
          <w:tab w:val="num" w:pos="720"/>
        </w:tabs>
        <w:ind w:left="720" w:hanging="360"/>
      </w:pPr>
      <w:rPr>
        <w:rFonts w:ascii="Wingdings" w:hAnsi="Wingdings" w:hint="default"/>
      </w:rPr>
    </w:lvl>
    <w:lvl w:ilvl="1" w:tplc="15164F04" w:tentative="1">
      <w:start w:val="1"/>
      <w:numFmt w:val="bullet"/>
      <w:lvlText w:val=""/>
      <w:lvlJc w:val="left"/>
      <w:pPr>
        <w:tabs>
          <w:tab w:val="num" w:pos="1440"/>
        </w:tabs>
        <w:ind w:left="1440" w:hanging="360"/>
      </w:pPr>
      <w:rPr>
        <w:rFonts w:ascii="Wingdings" w:hAnsi="Wingdings" w:hint="default"/>
      </w:rPr>
    </w:lvl>
    <w:lvl w:ilvl="2" w:tplc="A1EEB2D0" w:tentative="1">
      <w:start w:val="1"/>
      <w:numFmt w:val="bullet"/>
      <w:lvlText w:val=""/>
      <w:lvlJc w:val="left"/>
      <w:pPr>
        <w:tabs>
          <w:tab w:val="num" w:pos="2160"/>
        </w:tabs>
        <w:ind w:left="2160" w:hanging="360"/>
      </w:pPr>
      <w:rPr>
        <w:rFonts w:ascii="Wingdings" w:hAnsi="Wingdings" w:hint="default"/>
      </w:rPr>
    </w:lvl>
    <w:lvl w:ilvl="3" w:tplc="7CA89644" w:tentative="1">
      <w:start w:val="1"/>
      <w:numFmt w:val="bullet"/>
      <w:lvlText w:val=""/>
      <w:lvlJc w:val="left"/>
      <w:pPr>
        <w:tabs>
          <w:tab w:val="num" w:pos="2880"/>
        </w:tabs>
        <w:ind w:left="2880" w:hanging="360"/>
      </w:pPr>
      <w:rPr>
        <w:rFonts w:ascii="Wingdings" w:hAnsi="Wingdings" w:hint="default"/>
      </w:rPr>
    </w:lvl>
    <w:lvl w:ilvl="4" w:tplc="2132FD7E" w:tentative="1">
      <w:start w:val="1"/>
      <w:numFmt w:val="bullet"/>
      <w:lvlText w:val=""/>
      <w:lvlJc w:val="left"/>
      <w:pPr>
        <w:tabs>
          <w:tab w:val="num" w:pos="3600"/>
        </w:tabs>
        <w:ind w:left="3600" w:hanging="360"/>
      </w:pPr>
      <w:rPr>
        <w:rFonts w:ascii="Wingdings" w:hAnsi="Wingdings" w:hint="default"/>
      </w:rPr>
    </w:lvl>
    <w:lvl w:ilvl="5" w:tplc="8D34808C" w:tentative="1">
      <w:start w:val="1"/>
      <w:numFmt w:val="bullet"/>
      <w:lvlText w:val=""/>
      <w:lvlJc w:val="left"/>
      <w:pPr>
        <w:tabs>
          <w:tab w:val="num" w:pos="4320"/>
        </w:tabs>
        <w:ind w:left="4320" w:hanging="360"/>
      </w:pPr>
      <w:rPr>
        <w:rFonts w:ascii="Wingdings" w:hAnsi="Wingdings" w:hint="default"/>
      </w:rPr>
    </w:lvl>
    <w:lvl w:ilvl="6" w:tplc="167CE52A" w:tentative="1">
      <w:start w:val="1"/>
      <w:numFmt w:val="bullet"/>
      <w:lvlText w:val=""/>
      <w:lvlJc w:val="left"/>
      <w:pPr>
        <w:tabs>
          <w:tab w:val="num" w:pos="5040"/>
        </w:tabs>
        <w:ind w:left="5040" w:hanging="360"/>
      </w:pPr>
      <w:rPr>
        <w:rFonts w:ascii="Wingdings" w:hAnsi="Wingdings" w:hint="default"/>
      </w:rPr>
    </w:lvl>
    <w:lvl w:ilvl="7" w:tplc="3C54B2B2" w:tentative="1">
      <w:start w:val="1"/>
      <w:numFmt w:val="bullet"/>
      <w:lvlText w:val=""/>
      <w:lvlJc w:val="left"/>
      <w:pPr>
        <w:tabs>
          <w:tab w:val="num" w:pos="5760"/>
        </w:tabs>
        <w:ind w:left="5760" w:hanging="360"/>
      </w:pPr>
      <w:rPr>
        <w:rFonts w:ascii="Wingdings" w:hAnsi="Wingdings" w:hint="default"/>
      </w:rPr>
    </w:lvl>
    <w:lvl w:ilvl="8" w:tplc="CBF85E0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9787A7"/>
    <w:multiLevelType w:val="hybridMultilevel"/>
    <w:tmpl w:val="CF5A2DBE"/>
    <w:lvl w:ilvl="0" w:tplc="491C36EE">
      <w:start w:val="1"/>
      <w:numFmt w:val="bullet"/>
      <w:lvlText w:val=""/>
      <w:lvlJc w:val="left"/>
      <w:pPr>
        <w:ind w:left="720" w:hanging="360"/>
      </w:pPr>
      <w:rPr>
        <w:rFonts w:ascii="Symbol" w:hAnsi="Symbol" w:hint="default"/>
      </w:rPr>
    </w:lvl>
    <w:lvl w:ilvl="1" w:tplc="91E2FA4C">
      <w:start w:val="1"/>
      <w:numFmt w:val="bullet"/>
      <w:lvlText w:val="o"/>
      <w:lvlJc w:val="left"/>
      <w:pPr>
        <w:ind w:left="1440" w:hanging="360"/>
      </w:pPr>
      <w:rPr>
        <w:rFonts w:ascii="Courier New" w:hAnsi="Courier New" w:hint="default"/>
      </w:rPr>
    </w:lvl>
    <w:lvl w:ilvl="2" w:tplc="F7181BDA">
      <w:start w:val="1"/>
      <w:numFmt w:val="bullet"/>
      <w:lvlText w:val=""/>
      <w:lvlJc w:val="left"/>
      <w:pPr>
        <w:ind w:left="2160" w:hanging="360"/>
      </w:pPr>
      <w:rPr>
        <w:rFonts w:ascii="Wingdings" w:hAnsi="Wingdings" w:hint="default"/>
      </w:rPr>
    </w:lvl>
    <w:lvl w:ilvl="3" w:tplc="D46CB5BE">
      <w:start w:val="1"/>
      <w:numFmt w:val="bullet"/>
      <w:lvlText w:val=""/>
      <w:lvlJc w:val="left"/>
      <w:pPr>
        <w:ind w:left="2880" w:hanging="360"/>
      </w:pPr>
      <w:rPr>
        <w:rFonts w:ascii="Symbol" w:hAnsi="Symbol" w:hint="default"/>
      </w:rPr>
    </w:lvl>
    <w:lvl w:ilvl="4" w:tplc="B4861F2A">
      <w:start w:val="1"/>
      <w:numFmt w:val="bullet"/>
      <w:lvlText w:val="o"/>
      <w:lvlJc w:val="left"/>
      <w:pPr>
        <w:ind w:left="3600" w:hanging="360"/>
      </w:pPr>
      <w:rPr>
        <w:rFonts w:ascii="Courier New" w:hAnsi="Courier New" w:hint="default"/>
      </w:rPr>
    </w:lvl>
    <w:lvl w:ilvl="5" w:tplc="FD9013F4">
      <w:start w:val="1"/>
      <w:numFmt w:val="bullet"/>
      <w:lvlText w:val=""/>
      <w:lvlJc w:val="left"/>
      <w:pPr>
        <w:ind w:left="4320" w:hanging="360"/>
      </w:pPr>
      <w:rPr>
        <w:rFonts w:ascii="Wingdings" w:hAnsi="Wingdings" w:hint="default"/>
      </w:rPr>
    </w:lvl>
    <w:lvl w:ilvl="6" w:tplc="BD586FFC">
      <w:start w:val="1"/>
      <w:numFmt w:val="bullet"/>
      <w:lvlText w:val=""/>
      <w:lvlJc w:val="left"/>
      <w:pPr>
        <w:ind w:left="5040" w:hanging="360"/>
      </w:pPr>
      <w:rPr>
        <w:rFonts w:ascii="Symbol" w:hAnsi="Symbol" w:hint="default"/>
      </w:rPr>
    </w:lvl>
    <w:lvl w:ilvl="7" w:tplc="7C36B576">
      <w:start w:val="1"/>
      <w:numFmt w:val="bullet"/>
      <w:lvlText w:val="o"/>
      <w:lvlJc w:val="left"/>
      <w:pPr>
        <w:ind w:left="5760" w:hanging="360"/>
      </w:pPr>
      <w:rPr>
        <w:rFonts w:ascii="Courier New" w:hAnsi="Courier New" w:hint="default"/>
      </w:rPr>
    </w:lvl>
    <w:lvl w:ilvl="8" w:tplc="14681AAA">
      <w:start w:val="1"/>
      <w:numFmt w:val="bullet"/>
      <w:lvlText w:val=""/>
      <w:lvlJc w:val="left"/>
      <w:pPr>
        <w:ind w:left="6480" w:hanging="360"/>
      </w:pPr>
      <w:rPr>
        <w:rFonts w:ascii="Wingdings" w:hAnsi="Wingdings" w:hint="default"/>
      </w:rPr>
    </w:lvl>
  </w:abstractNum>
  <w:abstractNum w:abstractNumId="5" w15:restartNumberingAfterBreak="0">
    <w:nsid w:val="44CD41D1"/>
    <w:multiLevelType w:val="hybridMultilevel"/>
    <w:tmpl w:val="9CC24056"/>
    <w:lvl w:ilvl="0" w:tplc="9F621D76">
      <w:start w:val="17"/>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D94A37"/>
    <w:multiLevelType w:val="hybridMultilevel"/>
    <w:tmpl w:val="E55A3A2E"/>
    <w:lvl w:ilvl="0" w:tplc="1486A51C">
      <w:numFmt w:val="bullet"/>
      <w:lvlText w:val="-"/>
      <w:lvlJc w:val="left"/>
      <w:pPr>
        <w:ind w:left="720" w:hanging="360"/>
      </w:pPr>
      <w:rPr>
        <w:rFonts w:ascii="Calibri" w:eastAsia="Calibri" w:hAnsi="Calibri" w:cs="Times New Roman" w:hint="default"/>
      </w:rPr>
    </w:lvl>
    <w:lvl w:ilvl="1" w:tplc="1486A51C">
      <w:numFmt w:val="bullet"/>
      <w:lvlText w:val="-"/>
      <w:lvlJc w:val="left"/>
      <w:pPr>
        <w:ind w:left="1440" w:hanging="360"/>
      </w:pPr>
      <w:rPr>
        <w:rFonts w:ascii="Calibri" w:eastAsia="Calibri" w:hAnsi="Calibri"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F6812A3"/>
    <w:multiLevelType w:val="hybridMultilevel"/>
    <w:tmpl w:val="66C86C72"/>
    <w:lvl w:ilvl="0" w:tplc="5DCE1612">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9D470F"/>
    <w:multiLevelType w:val="hybridMultilevel"/>
    <w:tmpl w:val="93DE35EC"/>
    <w:lvl w:ilvl="0" w:tplc="D92862D6">
      <w:numFmt w:val="bullet"/>
      <w:lvlText w:val=""/>
      <w:lvlJc w:val="left"/>
      <w:pPr>
        <w:ind w:left="720" w:hanging="360"/>
      </w:pPr>
      <w:rPr>
        <w:rFonts w:ascii="Wingdings" w:hAnsi="Wingdings" w:cs="Times New Roman" w:hint="default"/>
      </w:rPr>
    </w:lvl>
    <w:lvl w:ilvl="1" w:tplc="5DCE1612">
      <w:start w:val="1"/>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1C7DEE"/>
    <w:multiLevelType w:val="hybridMultilevel"/>
    <w:tmpl w:val="313E7562"/>
    <w:lvl w:ilvl="0" w:tplc="8BCEE57C">
      <w:start w:val="1"/>
      <w:numFmt w:val="bullet"/>
      <w:lvlText w:val=""/>
      <w:lvlJc w:val="left"/>
      <w:pPr>
        <w:ind w:left="720" w:hanging="360"/>
      </w:pPr>
      <w:rPr>
        <w:rFonts w:ascii="Symbol" w:hAnsi="Symbol" w:hint="default"/>
      </w:rPr>
    </w:lvl>
    <w:lvl w:ilvl="1" w:tplc="4AE804D0">
      <w:start w:val="1"/>
      <w:numFmt w:val="bullet"/>
      <w:lvlText w:val="o"/>
      <w:lvlJc w:val="left"/>
      <w:pPr>
        <w:ind w:left="1440" w:hanging="360"/>
      </w:pPr>
      <w:rPr>
        <w:rFonts w:ascii="Courier New" w:hAnsi="Courier New" w:hint="default"/>
      </w:rPr>
    </w:lvl>
    <w:lvl w:ilvl="2" w:tplc="0AF83322">
      <w:start w:val="1"/>
      <w:numFmt w:val="bullet"/>
      <w:lvlText w:val=""/>
      <w:lvlJc w:val="left"/>
      <w:pPr>
        <w:ind w:left="2160" w:hanging="360"/>
      </w:pPr>
      <w:rPr>
        <w:rFonts w:ascii="Wingdings" w:hAnsi="Wingdings" w:hint="default"/>
      </w:rPr>
    </w:lvl>
    <w:lvl w:ilvl="3" w:tplc="1C1A6C46">
      <w:start w:val="1"/>
      <w:numFmt w:val="bullet"/>
      <w:lvlText w:val=""/>
      <w:lvlJc w:val="left"/>
      <w:pPr>
        <w:ind w:left="2880" w:hanging="360"/>
      </w:pPr>
      <w:rPr>
        <w:rFonts w:ascii="Symbol" w:hAnsi="Symbol" w:hint="default"/>
      </w:rPr>
    </w:lvl>
    <w:lvl w:ilvl="4" w:tplc="1604FFD8">
      <w:start w:val="1"/>
      <w:numFmt w:val="bullet"/>
      <w:lvlText w:val="o"/>
      <w:lvlJc w:val="left"/>
      <w:pPr>
        <w:ind w:left="3600" w:hanging="360"/>
      </w:pPr>
      <w:rPr>
        <w:rFonts w:ascii="Courier New" w:hAnsi="Courier New" w:hint="default"/>
      </w:rPr>
    </w:lvl>
    <w:lvl w:ilvl="5" w:tplc="A4307368">
      <w:start w:val="1"/>
      <w:numFmt w:val="bullet"/>
      <w:lvlText w:val=""/>
      <w:lvlJc w:val="left"/>
      <w:pPr>
        <w:ind w:left="4320" w:hanging="360"/>
      </w:pPr>
      <w:rPr>
        <w:rFonts w:ascii="Wingdings" w:hAnsi="Wingdings" w:hint="default"/>
      </w:rPr>
    </w:lvl>
    <w:lvl w:ilvl="6" w:tplc="EB64D870">
      <w:start w:val="1"/>
      <w:numFmt w:val="bullet"/>
      <w:lvlText w:val=""/>
      <w:lvlJc w:val="left"/>
      <w:pPr>
        <w:ind w:left="5040" w:hanging="360"/>
      </w:pPr>
      <w:rPr>
        <w:rFonts w:ascii="Symbol" w:hAnsi="Symbol" w:hint="default"/>
      </w:rPr>
    </w:lvl>
    <w:lvl w:ilvl="7" w:tplc="CA5E075C">
      <w:start w:val="1"/>
      <w:numFmt w:val="bullet"/>
      <w:lvlText w:val="o"/>
      <w:lvlJc w:val="left"/>
      <w:pPr>
        <w:ind w:left="5760" w:hanging="360"/>
      </w:pPr>
      <w:rPr>
        <w:rFonts w:ascii="Courier New" w:hAnsi="Courier New" w:hint="default"/>
      </w:rPr>
    </w:lvl>
    <w:lvl w:ilvl="8" w:tplc="AA063A76">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3"/>
  </w:num>
  <w:num w:numId="4">
    <w:abstractNumId w:val="6"/>
  </w:num>
  <w:num w:numId="5">
    <w:abstractNumId w:val="5"/>
  </w:num>
  <w:num w:numId="6">
    <w:abstractNumId w:val="7"/>
  </w:num>
  <w:num w:numId="7">
    <w:abstractNumId w:val="0"/>
  </w:num>
  <w:num w:numId="8">
    <w:abstractNumId w:val="8"/>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195"/>
    <w:rsid w:val="00364972"/>
    <w:rsid w:val="003B688F"/>
    <w:rsid w:val="0068053C"/>
    <w:rsid w:val="008271AC"/>
    <w:rsid w:val="009F5195"/>
    <w:rsid w:val="7C05A0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2AAC3"/>
  <w15:chartTrackingRefBased/>
  <w15:docId w15:val="{B74B04AF-8071-413F-980D-E2DA5A795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5195"/>
  </w:style>
  <w:style w:type="paragraph" w:styleId="Heading2">
    <w:name w:val="heading 2"/>
    <w:basedOn w:val="Normal"/>
    <w:next w:val="Normal"/>
    <w:link w:val="Heading2Char"/>
    <w:uiPriority w:val="9"/>
    <w:unhideWhenUsed/>
    <w:qFormat/>
    <w:rsid w:val="009F519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200" w:after="240" w:line="276" w:lineRule="auto"/>
      <w:jc w:val="both"/>
      <w:outlineLvl w:val="1"/>
    </w:pPr>
    <w:rPr>
      <w:rFonts w:eastAsiaTheme="minorEastAsia"/>
      <w:b/>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5195"/>
    <w:rPr>
      <w:rFonts w:eastAsiaTheme="minorEastAsia"/>
      <w:b/>
      <w:caps/>
      <w:spacing w:val="15"/>
      <w:shd w:val="clear" w:color="auto" w:fill="D9E2F3" w:themeFill="accent1" w:themeFillTint="33"/>
    </w:rPr>
  </w:style>
  <w:style w:type="table" w:styleId="TableGrid">
    <w:name w:val="Table Grid"/>
    <w:basedOn w:val="TableNormal"/>
    <w:uiPriority w:val="39"/>
    <w:rsid w:val="009F5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e de liste num,Paragraphe de liste 1,Listes,texte de base,Paragraphe,Normal bullet 2,Paragraph,lp1,1st level - Bullet List Paragraph,Lettre d'introduction,Bullet EY,List L1,6 pt paragraphe carré,Puce focus,Bullet point 1"/>
    <w:basedOn w:val="Normal"/>
    <w:link w:val="ListParagraphChar"/>
    <w:uiPriority w:val="34"/>
    <w:qFormat/>
    <w:rsid w:val="009F5195"/>
    <w:pPr>
      <w:ind w:left="720"/>
      <w:contextualSpacing/>
    </w:pPr>
  </w:style>
  <w:style w:type="character" w:customStyle="1" w:styleId="ListParagraphChar">
    <w:name w:val="List Paragraph Char"/>
    <w:aliases w:val="Paragraphe de liste num Char,Paragraphe de liste 1 Char,Listes Char,texte de base Char,Paragraphe Char,Normal bullet 2 Char,Paragraph Char,lp1 Char,1st level - Bullet List Paragraph Char,Lettre d'introduction Char,Bullet EY Char"/>
    <w:basedOn w:val="DefaultParagraphFont"/>
    <w:link w:val="ListParagraph"/>
    <w:uiPriority w:val="34"/>
    <w:locked/>
    <w:rsid w:val="009F51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967</Words>
  <Characters>5515</Characters>
  <Application>Microsoft Office Word</Application>
  <DocSecurity>0</DocSecurity>
  <Lines>45</Lines>
  <Paragraphs>12</Paragraphs>
  <ScaleCrop>false</ScaleCrop>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chazaud</dc:creator>
  <cp:keywords/>
  <dc:description/>
  <cp:lastModifiedBy>gauthier bas</cp:lastModifiedBy>
  <cp:revision>4</cp:revision>
  <dcterms:created xsi:type="dcterms:W3CDTF">2022-07-27T11:39:00Z</dcterms:created>
  <dcterms:modified xsi:type="dcterms:W3CDTF">2022-11-04T12:45:00Z</dcterms:modified>
</cp:coreProperties>
</file>