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F041C" w14:textId="77777777" w:rsidR="006F760C" w:rsidRPr="006F760C" w:rsidRDefault="006F760C" w:rsidP="004003A1">
      <w:pPr>
        <w:jc w:val="center"/>
        <w:rPr>
          <w:b/>
          <w:bCs/>
        </w:rPr>
      </w:pPr>
      <w:r w:rsidRPr="006F760C">
        <w:rPr>
          <w:b/>
          <w:bCs/>
        </w:rPr>
        <w:t>Event Concept Document</w:t>
      </w:r>
    </w:p>
    <w:p w14:paraId="11F288A5" w14:textId="4A6BD6C5" w:rsidR="006F760C" w:rsidRDefault="006F760C" w:rsidP="004003A1">
      <w:pPr>
        <w:jc w:val="center"/>
        <w:rPr>
          <w:b/>
          <w:bCs/>
        </w:rPr>
      </w:pPr>
      <w:r w:rsidRPr="006F760C">
        <w:rPr>
          <w:b/>
          <w:bCs/>
        </w:rPr>
        <w:t>Cooperation Actions in Action: How Ideas Lead to Impact</w:t>
      </w:r>
    </w:p>
    <w:p w14:paraId="0D01A626" w14:textId="77777777" w:rsidR="00F37C25" w:rsidRDefault="00F37C25" w:rsidP="004003A1">
      <w:pPr>
        <w:jc w:val="center"/>
        <w:rPr>
          <w:b/>
          <w:bCs/>
        </w:rPr>
      </w:pPr>
    </w:p>
    <w:p w14:paraId="6A4F5AC5" w14:textId="77777777" w:rsidR="00DD45B6" w:rsidRDefault="00106847" w:rsidP="00DD45B6">
      <w:r w:rsidRPr="00106847">
        <w:t xml:space="preserve">The story of cooperation within the Investment for growth and jobs (IGJ) goal is not new. </w:t>
      </w:r>
      <w:r w:rsidR="00DD45B6">
        <w:t xml:space="preserve">However, it has gained greater prominence in the 2021–2027 programming period, as Member States are required to plan cooperation actions under each specific objective. The Common Provisions Regulation (EU) 2021/1060, Article 22(3)(d)(vi), explicitly enables Member States to support interregional actions directly through their IJG </w:t>
      </w:r>
      <w:proofErr w:type="spellStart"/>
      <w:r w:rsidR="00DD45B6">
        <w:t>programmes</w:t>
      </w:r>
      <w:proofErr w:type="spellEnd"/>
      <w:r w:rsidR="00DD45B6">
        <w:t>. This represents an important opportunity to strengthen territorial cooperation beyond the dedicated Interreg framework.</w:t>
      </w:r>
    </w:p>
    <w:p w14:paraId="79BBF908" w14:textId="5148EEEF" w:rsidR="00DD45B6" w:rsidRDefault="00DD45B6" w:rsidP="00DD45B6">
      <w:r>
        <w:t xml:space="preserve">In practice, many Managing Authorities face challenges in designing and implementing such cooperation actions. These include limited existing experience, fragmented examples, and the need to adjust administrative and legal requirements. As a result, the work with cooperation within IJG </w:t>
      </w:r>
      <w:proofErr w:type="spellStart"/>
      <w:r>
        <w:t>programmes</w:t>
      </w:r>
      <w:proofErr w:type="spellEnd"/>
      <w:r>
        <w:t xml:space="preserve"> requires additional support.</w:t>
      </w:r>
    </w:p>
    <w:p w14:paraId="2E73493C" w14:textId="7844507A" w:rsidR="00DD45B6" w:rsidRDefault="00DD45B6" w:rsidP="00DD45B6">
      <w:r>
        <w:t xml:space="preserve">At the same time, existing strategic cooperation frameworks such as the EU Macro-Regional and Sea Basin Strategies (MRS and SBS) offer strategic frameworks for identifying shared priorities and investment needs. Their established governance structures, stakeholder networks, and thematic priorities provide a unifying framework for aligning and inspiring IJG cooperation. </w:t>
      </w:r>
    </w:p>
    <w:p w14:paraId="5FA53E4F" w14:textId="3887F781" w:rsidR="00106847" w:rsidRPr="00106847" w:rsidRDefault="00DD45B6" w:rsidP="00DD45B6">
      <w:r>
        <w:t xml:space="preserve">One of </w:t>
      </w:r>
      <w:proofErr w:type="spellStart"/>
      <w:r>
        <w:t>Interact’s</w:t>
      </w:r>
      <w:proofErr w:type="spellEnd"/>
      <w:r>
        <w:t xml:space="preserve"> ongoing activities focuses on supporting IJG </w:t>
      </w:r>
      <w:proofErr w:type="spellStart"/>
      <w:r>
        <w:t>programmes</w:t>
      </w:r>
      <w:proofErr w:type="spellEnd"/>
      <w:r>
        <w:t xml:space="preserve"> in implementing cooperation actions in line with Article 22(3)(d)(vi) of Regulation (EU) 2021/1060. The aim is to </w:t>
      </w:r>
      <w:proofErr w:type="spellStart"/>
      <w:r>
        <w:t>harmonise</w:t>
      </w:r>
      <w:proofErr w:type="spellEnd"/>
      <w:r>
        <w:t xml:space="preserve"> and simplify approaches, provide guidance, and foster knowledge exchange between </w:t>
      </w:r>
      <w:proofErr w:type="spellStart"/>
      <w:r>
        <w:t>programmes</w:t>
      </w:r>
      <w:proofErr w:type="spellEnd"/>
      <w:r>
        <w:t xml:space="preserve"> and authorities.</w:t>
      </w:r>
    </w:p>
    <w:p w14:paraId="22C9A647" w14:textId="77777777" w:rsidR="006F760C" w:rsidRPr="006F760C" w:rsidRDefault="006F760C" w:rsidP="006F760C">
      <w:pPr>
        <w:rPr>
          <w:b/>
          <w:bCs/>
        </w:rPr>
      </w:pPr>
      <w:r w:rsidRPr="006F760C">
        <w:rPr>
          <w:b/>
          <w:bCs/>
        </w:rPr>
        <w:t>1. Executive Summary</w:t>
      </w:r>
    </w:p>
    <w:p w14:paraId="2CFCC7F6" w14:textId="77777777" w:rsidR="006F760C" w:rsidRPr="006F760C" w:rsidRDefault="006F760C" w:rsidP="006F760C">
      <w:r w:rsidRPr="006F760C">
        <w:rPr>
          <w:b/>
          <w:bCs/>
        </w:rPr>
        <w:t>Event Title:</w:t>
      </w:r>
      <w:r w:rsidRPr="006F760C">
        <w:t> Cooperation Actions in Action: How Ideas Lead to Impact</w:t>
      </w:r>
    </w:p>
    <w:p w14:paraId="788FFDDB" w14:textId="36CFD132" w:rsidR="006F760C" w:rsidRDefault="006F760C" w:rsidP="006F760C">
      <w:r w:rsidRPr="006F760C">
        <w:rPr>
          <w:b/>
          <w:bCs/>
        </w:rPr>
        <w:t>Date:</w:t>
      </w:r>
      <w:r w:rsidRPr="006F760C">
        <w:t> </w:t>
      </w:r>
      <w:r w:rsidR="00D612A4">
        <w:t>May</w:t>
      </w:r>
      <w:r w:rsidRPr="006F760C">
        <w:t>, 2026</w:t>
      </w:r>
    </w:p>
    <w:p w14:paraId="5E168D82" w14:textId="61376B7B" w:rsidR="00E86FFC" w:rsidRPr="006F760C" w:rsidRDefault="00E86FFC" w:rsidP="006F760C">
      <w:r w:rsidRPr="00E86FFC">
        <w:rPr>
          <w:b/>
          <w:bCs/>
        </w:rPr>
        <w:t>Venue:</w:t>
      </w:r>
      <w:r>
        <w:t xml:space="preserve"> Nice, France</w:t>
      </w:r>
    </w:p>
    <w:p w14:paraId="470AC46D" w14:textId="7D77949F" w:rsidR="006F760C" w:rsidRPr="006F760C" w:rsidRDefault="006F760C" w:rsidP="006F760C">
      <w:r w:rsidRPr="006F760C">
        <w:rPr>
          <w:b/>
          <w:bCs/>
        </w:rPr>
        <w:t>Duration:</w:t>
      </w:r>
      <w:r w:rsidRPr="006F760C">
        <w:t> </w:t>
      </w:r>
      <w:r>
        <w:t>1.5</w:t>
      </w:r>
      <w:r w:rsidRPr="006F760C">
        <w:t xml:space="preserve"> days</w:t>
      </w:r>
      <w:r w:rsidR="00E86FFC">
        <w:t>, starting from 13.30</w:t>
      </w:r>
      <w:r w:rsidR="00D612A4">
        <w:t xml:space="preserve"> h.</w:t>
      </w:r>
    </w:p>
    <w:p w14:paraId="031E6BD5" w14:textId="77777777" w:rsidR="006F760C" w:rsidRPr="006F760C" w:rsidRDefault="006F760C" w:rsidP="006F760C">
      <w:r w:rsidRPr="006F760C">
        <w:rPr>
          <w:b/>
          <w:bCs/>
        </w:rPr>
        <w:t>Format:</w:t>
      </w:r>
      <w:r w:rsidRPr="006F760C">
        <w:t> Presential event with study visit component</w:t>
      </w:r>
    </w:p>
    <w:p w14:paraId="1816855F" w14:textId="29389C54" w:rsidR="006F760C" w:rsidRDefault="006F760C" w:rsidP="006F760C">
      <w:r w:rsidRPr="006F760C">
        <w:rPr>
          <w:b/>
          <w:bCs/>
        </w:rPr>
        <w:t>Target Audience:</w:t>
      </w:r>
      <w:r w:rsidRPr="006F760C">
        <w:t> </w:t>
      </w:r>
      <w:r>
        <w:t>50</w:t>
      </w:r>
      <w:r w:rsidRPr="006F760C">
        <w:t xml:space="preserve"> participants from </w:t>
      </w:r>
      <w:r>
        <w:t xml:space="preserve">managing authorities of regional and national </w:t>
      </w:r>
      <w:r w:rsidR="00F37C25">
        <w:t>IJG</w:t>
      </w:r>
      <w:r>
        <w:t xml:space="preserve"> </w:t>
      </w:r>
      <w:proofErr w:type="spellStart"/>
      <w:r>
        <w:t>programmes</w:t>
      </w:r>
      <w:proofErr w:type="spellEnd"/>
    </w:p>
    <w:p w14:paraId="5778A391" w14:textId="2066855A" w:rsidR="006F760C" w:rsidRPr="006F760C" w:rsidRDefault="006F760C" w:rsidP="006F760C">
      <w:r w:rsidRPr="006F760C">
        <w:rPr>
          <w:b/>
          <w:bCs/>
        </w:rPr>
        <w:lastRenderedPageBreak/>
        <w:t>Core Purpose:</w:t>
      </w:r>
      <w:r w:rsidRPr="006F760C">
        <w:t> To bridge the implementation gap in cooperation actions by facilitating peer learning, knowledge transfer, and strategic networking among stakeholders at different maturity stages of cooperation implementation.</w:t>
      </w:r>
    </w:p>
    <w:p w14:paraId="75F63EC2" w14:textId="77777777" w:rsidR="006F760C" w:rsidRPr="006F760C" w:rsidRDefault="006F760C" w:rsidP="006F760C">
      <w:pPr>
        <w:rPr>
          <w:b/>
          <w:bCs/>
        </w:rPr>
      </w:pPr>
      <w:r w:rsidRPr="006F760C">
        <w:rPr>
          <w:b/>
          <w:bCs/>
        </w:rPr>
        <w:t>2. Event Rationale</w:t>
      </w:r>
    </w:p>
    <w:p w14:paraId="02D285A7" w14:textId="77777777" w:rsidR="006F760C" w:rsidRPr="006F760C" w:rsidRDefault="006F760C" w:rsidP="006F760C">
      <w:r w:rsidRPr="006F760C">
        <w:t>The 2021-2027 programming period mandates cooperation actions across all specific objectives (Reg. EU No. 2021/1060 Art. 22 3 d) vi), creating unprecedented opportunities for regional synergy but also significant implementation challenges.</w:t>
      </w:r>
    </w:p>
    <w:p w14:paraId="615DFDCE" w14:textId="77777777" w:rsidR="006F760C" w:rsidRPr="006F760C" w:rsidRDefault="006F760C" w:rsidP="006F760C">
      <w:r w:rsidRPr="006F760C">
        <w:rPr>
          <w:b/>
          <w:bCs/>
        </w:rPr>
        <w:t>Key Challenges Addressed:</w:t>
      </w:r>
    </w:p>
    <w:p w14:paraId="6DDEB322" w14:textId="77777777" w:rsidR="006F760C" w:rsidRPr="006F760C" w:rsidRDefault="006F760C" w:rsidP="006F760C">
      <w:pPr>
        <w:numPr>
          <w:ilvl w:val="0"/>
          <w:numId w:val="1"/>
        </w:numPr>
      </w:pPr>
      <w:r w:rsidRPr="006F760C">
        <w:t>Knowledge silos preventing cross-</w:t>
      </w:r>
      <w:proofErr w:type="spellStart"/>
      <w:r w:rsidRPr="006F760C">
        <w:t>programme</w:t>
      </w:r>
      <w:proofErr w:type="spellEnd"/>
      <w:r w:rsidRPr="006F760C">
        <w:t xml:space="preserve"> learning</w:t>
      </w:r>
    </w:p>
    <w:p w14:paraId="138B1465" w14:textId="77777777" w:rsidR="006F760C" w:rsidRPr="006F760C" w:rsidRDefault="006F760C" w:rsidP="006F760C">
      <w:pPr>
        <w:numPr>
          <w:ilvl w:val="0"/>
          <w:numId w:val="1"/>
        </w:numPr>
      </w:pPr>
      <w:r w:rsidRPr="006F760C">
        <w:t>Limited access to practical implementation know-how</w:t>
      </w:r>
    </w:p>
    <w:p w14:paraId="599A0FAD" w14:textId="77777777" w:rsidR="006F760C" w:rsidRPr="006F760C" w:rsidRDefault="006F760C" w:rsidP="006F760C">
      <w:pPr>
        <w:numPr>
          <w:ilvl w:val="0"/>
          <w:numId w:val="1"/>
        </w:numPr>
      </w:pPr>
      <w:r w:rsidRPr="006F760C">
        <w:t>Partnership formation barriers</w:t>
      </w:r>
    </w:p>
    <w:p w14:paraId="06584767" w14:textId="77777777" w:rsidR="006F760C" w:rsidRPr="006F760C" w:rsidRDefault="006F760C" w:rsidP="006F760C">
      <w:pPr>
        <w:numPr>
          <w:ilvl w:val="0"/>
          <w:numId w:val="1"/>
        </w:numPr>
      </w:pPr>
      <w:r w:rsidRPr="006F760C">
        <w:t>Difficulty translating cooperation concepts into tangible results</w:t>
      </w:r>
    </w:p>
    <w:p w14:paraId="03B7EEF2" w14:textId="77777777" w:rsidR="006F760C" w:rsidRPr="006F760C" w:rsidRDefault="006F760C" w:rsidP="006F760C">
      <w:pPr>
        <w:numPr>
          <w:ilvl w:val="0"/>
          <w:numId w:val="1"/>
        </w:numPr>
      </w:pPr>
      <w:r w:rsidRPr="006F760C">
        <w:t>Lack of peer exchange opportunities beyond existing partnerships</w:t>
      </w:r>
    </w:p>
    <w:p w14:paraId="42567A0E" w14:textId="77777777" w:rsidR="006F760C" w:rsidRPr="006F760C" w:rsidRDefault="006F760C" w:rsidP="006F760C">
      <w:r w:rsidRPr="006F760C">
        <w:rPr>
          <w:b/>
          <w:bCs/>
        </w:rPr>
        <w:t>Value Proposition:</w:t>
      </w:r>
      <w:r w:rsidRPr="006F760C">
        <w:t> This event serves as a strategic platform where practitioners can access the "recipe" for successful cooperation actions through direct engagement with peers who have navigated various stages of implementation, from initial concept to measurable impact.</w:t>
      </w:r>
    </w:p>
    <w:p w14:paraId="188B2BEA" w14:textId="77777777" w:rsidR="006F760C" w:rsidRPr="006F760C" w:rsidRDefault="006F760C" w:rsidP="006F760C">
      <w:pPr>
        <w:rPr>
          <w:b/>
          <w:bCs/>
        </w:rPr>
      </w:pPr>
      <w:r w:rsidRPr="006F760C">
        <w:rPr>
          <w:b/>
          <w:bCs/>
        </w:rPr>
        <w:t>3. Target Audience Profile</w:t>
      </w:r>
    </w:p>
    <w:p w14:paraId="2E2070D2" w14:textId="77777777" w:rsidR="006F760C" w:rsidRPr="006F760C" w:rsidRDefault="006F760C" w:rsidP="006F760C">
      <w:r w:rsidRPr="006F760C">
        <w:rPr>
          <w:b/>
          <w:bCs/>
        </w:rPr>
        <w:t>Primary Participants:</w:t>
      </w:r>
    </w:p>
    <w:p w14:paraId="2D9506B3" w14:textId="77777777" w:rsidR="006F760C" w:rsidRPr="006F760C" w:rsidRDefault="006F760C" w:rsidP="006F760C">
      <w:pPr>
        <w:numPr>
          <w:ilvl w:val="0"/>
          <w:numId w:val="2"/>
        </w:numPr>
      </w:pPr>
      <w:r w:rsidRPr="006F760C">
        <w:t>Managing Authority staff responsible for cooperation actions implementation</w:t>
      </w:r>
    </w:p>
    <w:p w14:paraId="492ED5C5" w14:textId="7CF0CA35" w:rsidR="006F760C" w:rsidRPr="006F760C" w:rsidRDefault="006F760C" w:rsidP="006F760C">
      <w:pPr>
        <w:numPr>
          <w:ilvl w:val="0"/>
          <w:numId w:val="2"/>
        </w:numPr>
      </w:pPr>
      <w:proofErr w:type="spellStart"/>
      <w:r w:rsidRPr="006F760C">
        <w:t>Programme</w:t>
      </w:r>
      <w:proofErr w:type="spellEnd"/>
      <w:r w:rsidRPr="006F760C">
        <w:t xml:space="preserve"> </w:t>
      </w:r>
      <w:r>
        <w:t>representatives</w:t>
      </w:r>
      <w:r w:rsidRPr="006F760C">
        <w:t xml:space="preserve"> from ERDF, ESF+, Cohesion Fund, and Interreg </w:t>
      </w:r>
      <w:proofErr w:type="spellStart"/>
      <w:r w:rsidRPr="006F760C">
        <w:t>programmes</w:t>
      </w:r>
      <w:proofErr w:type="spellEnd"/>
      <w:r w:rsidR="004003A1">
        <w:t xml:space="preserve"> (if relevant)</w:t>
      </w:r>
    </w:p>
    <w:p w14:paraId="24CBD11E" w14:textId="77777777" w:rsidR="006F760C" w:rsidRPr="006F760C" w:rsidRDefault="006F760C" w:rsidP="006F760C">
      <w:pPr>
        <w:numPr>
          <w:ilvl w:val="0"/>
          <w:numId w:val="2"/>
        </w:numPr>
      </w:pPr>
      <w:r w:rsidRPr="006F760C">
        <w:t>Regional development agencies implementing cooperation projects</w:t>
      </w:r>
    </w:p>
    <w:p w14:paraId="3A222A9D" w14:textId="77777777" w:rsidR="006F760C" w:rsidRPr="006F760C" w:rsidRDefault="006F760C" w:rsidP="006F760C">
      <w:pPr>
        <w:numPr>
          <w:ilvl w:val="0"/>
          <w:numId w:val="2"/>
        </w:numPr>
      </w:pPr>
      <w:r w:rsidRPr="006F760C">
        <w:t>National contact points for international cooperation</w:t>
      </w:r>
    </w:p>
    <w:p w14:paraId="4BC9A426" w14:textId="77777777" w:rsidR="006F760C" w:rsidRPr="006F760C" w:rsidRDefault="006F760C" w:rsidP="006F760C">
      <w:pPr>
        <w:numPr>
          <w:ilvl w:val="0"/>
          <w:numId w:val="2"/>
        </w:numPr>
      </w:pPr>
      <w:r w:rsidRPr="006F760C">
        <w:t>Technical assistance teams supporting cooperation actions</w:t>
      </w:r>
    </w:p>
    <w:p w14:paraId="11AB1ADA" w14:textId="77777777" w:rsidR="006F760C" w:rsidRPr="006F760C" w:rsidRDefault="006F760C" w:rsidP="006F760C">
      <w:r w:rsidRPr="006F760C">
        <w:rPr>
          <w:b/>
          <w:bCs/>
        </w:rPr>
        <w:t>Geographic Scope:</w:t>
      </w:r>
    </w:p>
    <w:p w14:paraId="6C31D6E3" w14:textId="77777777" w:rsidR="006F760C" w:rsidRPr="006F760C" w:rsidRDefault="006F760C" w:rsidP="006F760C">
      <w:pPr>
        <w:numPr>
          <w:ilvl w:val="0"/>
          <w:numId w:val="3"/>
        </w:numPr>
      </w:pPr>
      <w:r w:rsidRPr="006F760C">
        <w:t>EU Member States (priority: regions with active cooperation actions)</w:t>
      </w:r>
    </w:p>
    <w:p w14:paraId="7DB18FA8" w14:textId="77777777" w:rsidR="006F760C" w:rsidRPr="006F760C" w:rsidRDefault="006F760C" w:rsidP="006F760C">
      <w:pPr>
        <w:numPr>
          <w:ilvl w:val="0"/>
          <w:numId w:val="3"/>
        </w:numPr>
      </w:pPr>
      <w:r w:rsidRPr="006F760C">
        <w:t>Other international partners engaged in regional cooperation frameworks</w:t>
      </w:r>
    </w:p>
    <w:p w14:paraId="4CAF2869" w14:textId="77777777" w:rsidR="006F760C" w:rsidRPr="006F760C" w:rsidRDefault="006F760C" w:rsidP="006F760C">
      <w:pPr>
        <w:rPr>
          <w:b/>
          <w:bCs/>
        </w:rPr>
      </w:pPr>
      <w:r w:rsidRPr="006F760C">
        <w:rPr>
          <w:b/>
          <w:bCs/>
        </w:rPr>
        <w:t>4. Event Objectives</w:t>
      </w:r>
    </w:p>
    <w:p w14:paraId="76AE2998" w14:textId="77777777" w:rsidR="006F760C" w:rsidRPr="006F760C" w:rsidRDefault="006F760C" w:rsidP="006F760C">
      <w:r w:rsidRPr="006F760C">
        <w:rPr>
          <w:b/>
          <w:bCs/>
        </w:rPr>
        <w:lastRenderedPageBreak/>
        <w:t>Strategic Objectives:</w:t>
      </w:r>
    </w:p>
    <w:p w14:paraId="127EAA2D" w14:textId="77777777" w:rsidR="006F760C" w:rsidRPr="006F760C" w:rsidRDefault="006F760C" w:rsidP="006F760C">
      <w:pPr>
        <w:numPr>
          <w:ilvl w:val="0"/>
          <w:numId w:val="5"/>
        </w:numPr>
      </w:pPr>
      <w:r w:rsidRPr="006F760C">
        <w:t xml:space="preserve">Facilitate knowledge exchange on practical implementation of cooperation actions across diverse </w:t>
      </w:r>
      <w:proofErr w:type="spellStart"/>
      <w:r w:rsidRPr="006F760C">
        <w:t>programme</w:t>
      </w:r>
      <w:proofErr w:type="spellEnd"/>
      <w:r w:rsidRPr="006F760C">
        <w:t xml:space="preserve"> contexts</w:t>
      </w:r>
    </w:p>
    <w:p w14:paraId="205340DD" w14:textId="77777777" w:rsidR="006F760C" w:rsidRPr="006F760C" w:rsidRDefault="006F760C" w:rsidP="006F760C">
      <w:pPr>
        <w:numPr>
          <w:ilvl w:val="0"/>
          <w:numId w:val="5"/>
        </w:numPr>
      </w:pPr>
      <w:r w:rsidRPr="006F760C">
        <w:t>Enable peer-to-peer learning between stakeholders at different maturity stages</w:t>
      </w:r>
    </w:p>
    <w:p w14:paraId="34EC20D3" w14:textId="77777777" w:rsidR="006F760C" w:rsidRPr="006F760C" w:rsidRDefault="006F760C" w:rsidP="006F760C">
      <w:pPr>
        <w:numPr>
          <w:ilvl w:val="0"/>
          <w:numId w:val="5"/>
        </w:numPr>
      </w:pPr>
      <w:r w:rsidRPr="006F760C">
        <w:t>Identify and disseminate good practices for overcoming persistent cooperation barriers</w:t>
      </w:r>
    </w:p>
    <w:p w14:paraId="61B3FD84" w14:textId="77777777" w:rsidR="006F760C" w:rsidRPr="006F760C" w:rsidRDefault="006F760C" w:rsidP="006F760C">
      <w:pPr>
        <w:numPr>
          <w:ilvl w:val="0"/>
          <w:numId w:val="5"/>
        </w:numPr>
      </w:pPr>
      <w:r w:rsidRPr="006F760C">
        <w:t>Strengthen professional networks beyond existing partnership structures</w:t>
      </w:r>
    </w:p>
    <w:p w14:paraId="51119A00" w14:textId="77777777" w:rsidR="006F760C" w:rsidRDefault="006F760C" w:rsidP="006F760C">
      <w:pPr>
        <w:numPr>
          <w:ilvl w:val="0"/>
          <w:numId w:val="5"/>
        </w:numPr>
      </w:pPr>
      <w:r w:rsidRPr="006F760C">
        <w:t>Enhance capacity for designing and implementing impactful cooperation actions</w:t>
      </w:r>
    </w:p>
    <w:p w14:paraId="175B47EC" w14:textId="77777777" w:rsidR="00106847" w:rsidRPr="006F760C" w:rsidRDefault="00106847" w:rsidP="00106847">
      <w:pPr>
        <w:numPr>
          <w:ilvl w:val="0"/>
          <w:numId w:val="5"/>
        </w:numPr>
      </w:pPr>
      <w:r>
        <w:t xml:space="preserve">Connect to the work of the EU macro-regions using it as a framework for building cooperation across regions and </w:t>
      </w:r>
      <w:proofErr w:type="spellStart"/>
      <w:r>
        <w:t>programmes</w:t>
      </w:r>
      <w:proofErr w:type="spellEnd"/>
    </w:p>
    <w:p w14:paraId="2B4DE52B" w14:textId="77777777" w:rsidR="006F760C" w:rsidRPr="006F760C" w:rsidRDefault="006F760C" w:rsidP="006F760C">
      <w:r w:rsidRPr="006F760C">
        <w:rPr>
          <w:b/>
          <w:bCs/>
        </w:rPr>
        <w:t>Concrete Outcomes:</w:t>
      </w:r>
    </w:p>
    <w:p w14:paraId="665D5D10" w14:textId="77777777" w:rsidR="006F760C" w:rsidRPr="006F760C" w:rsidRDefault="006F760C" w:rsidP="006F760C">
      <w:pPr>
        <w:numPr>
          <w:ilvl w:val="0"/>
          <w:numId w:val="6"/>
        </w:numPr>
      </w:pPr>
      <w:r w:rsidRPr="006F760C">
        <w:t>Participants gain actionable strategies for their specific implementation stage</w:t>
      </w:r>
    </w:p>
    <w:p w14:paraId="26C822BA" w14:textId="77777777" w:rsidR="006F760C" w:rsidRPr="006F760C" w:rsidRDefault="006F760C" w:rsidP="006F760C">
      <w:pPr>
        <w:numPr>
          <w:ilvl w:val="0"/>
          <w:numId w:val="6"/>
        </w:numPr>
      </w:pPr>
      <w:r w:rsidRPr="006F760C">
        <w:t>Formation of new partnership connections and cooperation opportunities</w:t>
      </w:r>
    </w:p>
    <w:p w14:paraId="66E91355" w14:textId="77777777" w:rsidR="006F760C" w:rsidRPr="006F760C" w:rsidRDefault="006F760C" w:rsidP="006F760C">
      <w:pPr>
        <w:numPr>
          <w:ilvl w:val="0"/>
          <w:numId w:val="6"/>
        </w:numPr>
      </w:pPr>
      <w:r w:rsidRPr="006F760C">
        <w:t>Collection of transferable good practices and lessons learned</w:t>
      </w:r>
    </w:p>
    <w:p w14:paraId="169794F3" w14:textId="77777777" w:rsidR="006F760C" w:rsidRPr="006F760C" w:rsidRDefault="006F760C" w:rsidP="006F760C">
      <w:pPr>
        <w:numPr>
          <w:ilvl w:val="0"/>
          <w:numId w:val="6"/>
        </w:numPr>
      </w:pPr>
      <w:r w:rsidRPr="006F760C">
        <w:t>Enhanced understanding of multi-level governance approaches to cooperation</w:t>
      </w:r>
    </w:p>
    <w:p w14:paraId="5039E56D" w14:textId="77777777" w:rsidR="006F760C" w:rsidRPr="006F760C" w:rsidRDefault="006F760C" w:rsidP="006F760C">
      <w:pPr>
        <w:numPr>
          <w:ilvl w:val="0"/>
          <w:numId w:val="6"/>
        </w:numPr>
      </w:pPr>
      <w:r w:rsidRPr="006F760C">
        <w:t>Increased confidence in navigating regulatory and operational challenges</w:t>
      </w:r>
    </w:p>
    <w:p w14:paraId="7FDD7F6C" w14:textId="39BA5ECE" w:rsidR="006F760C" w:rsidRPr="006F760C" w:rsidRDefault="006F760C" w:rsidP="006F760C">
      <w:pPr>
        <w:rPr>
          <w:b/>
          <w:bCs/>
        </w:rPr>
      </w:pPr>
      <w:r w:rsidRPr="006F760C">
        <w:rPr>
          <w:b/>
          <w:bCs/>
        </w:rPr>
        <w:t>6. Methodological Elements</w:t>
      </w:r>
    </w:p>
    <w:p w14:paraId="7DA2A244" w14:textId="3DD3D22A" w:rsidR="006F760C" w:rsidRPr="006F760C" w:rsidRDefault="00106847" w:rsidP="006F760C">
      <w:pPr>
        <w:numPr>
          <w:ilvl w:val="0"/>
          <w:numId w:val="6"/>
        </w:numPr>
      </w:pPr>
      <w:r>
        <w:t>Experience exchange</w:t>
      </w:r>
    </w:p>
    <w:p w14:paraId="2C1CB92F" w14:textId="02325A1F" w:rsidR="006F760C" w:rsidRPr="006F760C" w:rsidRDefault="006F760C" w:rsidP="006F760C">
      <w:pPr>
        <w:numPr>
          <w:ilvl w:val="0"/>
          <w:numId w:val="6"/>
        </w:numPr>
      </w:pPr>
      <w:r w:rsidRPr="006F760C">
        <w:t>Networking</w:t>
      </w:r>
    </w:p>
    <w:p w14:paraId="76207C28" w14:textId="60B807F7" w:rsidR="006F760C" w:rsidRPr="006F760C" w:rsidRDefault="006F760C" w:rsidP="006F760C">
      <w:pPr>
        <w:numPr>
          <w:ilvl w:val="0"/>
          <w:numId w:val="6"/>
        </w:numPr>
      </w:pPr>
      <w:r w:rsidRPr="006F760C">
        <w:t xml:space="preserve">Study </w:t>
      </w:r>
      <w:r w:rsidR="00106847">
        <w:t>v</w:t>
      </w:r>
      <w:r w:rsidR="00106847" w:rsidRPr="006F760C">
        <w:t xml:space="preserve">isit </w:t>
      </w:r>
      <w:proofErr w:type="spellStart"/>
      <w:r w:rsidR="00106847">
        <w:t>i</w:t>
      </w:r>
      <w:r w:rsidRPr="006F760C">
        <w:t>Integration</w:t>
      </w:r>
      <w:proofErr w:type="spellEnd"/>
    </w:p>
    <w:p w14:paraId="34F3ACC6" w14:textId="0F166B1F" w:rsidR="006F760C" w:rsidRDefault="006F760C" w:rsidP="006F760C">
      <w:pPr>
        <w:numPr>
          <w:ilvl w:val="0"/>
          <w:numId w:val="6"/>
        </w:numPr>
      </w:pPr>
      <w:r w:rsidRPr="006F760C">
        <w:t xml:space="preserve">Co-creation </w:t>
      </w:r>
      <w:proofErr w:type="gramStart"/>
      <w:r w:rsidR="00106847">
        <w:t>f</w:t>
      </w:r>
      <w:r w:rsidR="00106847" w:rsidRPr="006F760C">
        <w:t>ocus</w:t>
      </w:r>
      <w:proofErr w:type="gramEnd"/>
    </w:p>
    <w:p w14:paraId="1BCFFF4C" w14:textId="415AFA16" w:rsidR="006F760C" w:rsidRPr="006F760C" w:rsidRDefault="006F760C" w:rsidP="006F760C">
      <w:pPr>
        <w:numPr>
          <w:ilvl w:val="0"/>
          <w:numId w:val="6"/>
        </w:numPr>
      </w:pPr>
      <w:r w:rsidRPr="006F760C">
        <w:t xml:space="preserve">Peer </w:t>
      </w:r>
      <w:r>
        <w:t>complementarity</w:t>
      </w:r>
    </w:p>
    <w:p w14:paraId="2DD1834A" w14:textId="18B4B19F" w:rsidR="006F760C" w:rsidRPr="006F760C" w:rsidRDefault="00417FBC" w:rsidP="006F760C">
      <w:r>
        <w:rPr>
          <w:b/>
          <w:bCs/>
        </w:rPr>
        <w:t>5</w:t>
      </w:r>
      <w:r w:rsidR="006F760C" w:rsidRPr="006F760C">
        <w:rPr>
          <w:b/>
          <w:bCs/>
        </w:rPr>
        <w:t>. Cross-cutting themes throughout the event:</w:t>
      </w:r>
    </w:p>
    <w:p w14:paraId="59A67B5C" w14:textId="5A38F9C7" w:rsidR="006F760C" w:rsidRPr="006F760C" w:rsidRDefault="006F760C" w:rsidP="00417FBC">
      <w:pPr>
        <w:numPr>
          <w:ilvl w:val="0"/>
          <w:numId w:val="20"/>
        </w:numPr>
      </w:pPr>
      <w:r w:rsidRPr="006F760C">
        <w:t xml:space="preserve">Partnership </w:t>
      </w:r>
      <w:r w:rsidR="00106847">
        <w:t>d</w:t>
      </w:r>
      <w:r w:rsidR="00106847" w:rsidRPr="006F760C">
        <w:t>ynamics</w:t>
      </w:r>
    </w:p>
    <w:p w14:paraId="37D9BBED" w14:textId="56D334B0" w:rsidR="006F760C" w:rsidRPr="006F760C" w:rsidRDefault="006F760C" w:rsidP="00417FBC">
      <w:pPr>
        <w:numPr>
          <w:ilvl w:val="0"/>
          <w:numId w:val="20"/>
        </w:numPr>
      </w:pPr>
      <w:r w:rsidRPr="006F760C">
        <w:t xml:space="preserve">Regulatory </w:t>
      </w:r>
      <w:r w:rsidR="00106847">
        <w:t>n</w:t>
      </w:r>
      <w:r w:rsidR="00106847" w:rsidRPr="006F760C">
        <w:t>avigation</w:t>
      </w:r>
    </w:p>
    <w:p w14:paraId="55854AD2" w14:textId="7F992544" w:rsidR="006F760C" w:rsidRPr="006F760C" w:rsidRDefault="006F760C" w:rsidP="00417FBC">
      <w:pPr>
        <w:numPr>
          <w:ilvl w:val="0"/>
          <w:numId w:val="20"/>
        </w:numPr>
      </w:pPr>
      <w:r w:rsidRPr="006F760C">
        <w:t xml:space="preserve">Sustainability and </w:t>
      </w:r>
      <w:r w:rsidR="00106847">
        <w:t>s</w:t>
      </w:r>
      <w:r w:rsidR="00106847" w:rsidRPr="006F760C">
        <w:t>cale</w:t>
      </w:r>
    </w:p>
    <w:p w14:paraId="7CA1B146" w14:textId="3137A009" w:rsidR="006F760C" w:rsidRPr="006F760C" w:rsidRDefault="006F760C" w:rsidP="00417FBC">
      <w:pPr>
        <w:numPr>
          <w:ilvl w:val="0"/>
          <w:numId w:val="20"/>
        </w:numPr>
      </w:pPr>
      <w:r w:rsidRPr="006F760C">
        <w:t xml:space="preserve">International </w:t>
      </w:r>
      <w:r w:rsidR="00106847">
        <w:t>d</w:t>
      </w:r>
      <w:r w:rsidR="00106847" w:rsidRPr="006F760C">
        <w:t>imension</w:t>
      </w:r>
    </w:p>
    <w:p w14:paraId="0D91449A" w14:textId="70B4DDD1" w:rsidR="006F760C" w:rsidRPr="006F760C" w:rsidRDefault="00417FBC" w:rsidP="006F760C">
      <w:pPr>
        <w:rPr>
          <w:b/>
          <w:bCs/>
        </w:rPr>
      </w:pPr>
      <w:r>
        <w:rPr>
          <w:b/>
          <w:bCs/>
        </w:rPr>
        <w:lastRenderedPageBreak/>
        <w:t>6</w:t>
      </w:r>
      <w:r w:rsidR="006F760C" w:rsidRPr="006F760C">
        <w:rPr>
          <w:b/>
          <w:bCs/>
        </w:rPr>
        <w:t>. Logistics Considerations</w:t>
      </w:r>
    </w:p>
    <w:p w14:paraId="19018577" w14:textId="77777777" w:rsidR="006F760C" w:rsidRPr="006F760C" w:rsidRDefault="006F760C" w:rsidP="006F760C">
      <w:r w:rsidRPr="006F760C">
        <w:rPr>
          <w:b/>
          <w:bCs/>
        </w:rPr>
        <w:t>Venue Requirements:</w:t>
      </w:r>
    </w:p>
    <w:p w14:paraId="6A69DE93" w14:textId="24FB6DC3" w:rsidR="006F760C" w:rsidRPr="006F760C" w:rsidRDefault="006F760C" w:rsidP="006F760C">
      <w:pPr>
        <w:numPr>
          <w:ilvl w:val="0"/>
          <w:numId w:val="25"/>
        </w:numPr>
      </w:pPr>
      <w:r>
        <w:t>50</w:t>
      </w:r>
      <w:r w:rsidRPr="006F760C">
        <w:t xml:space="preserve"> participants</w:t>
      </w:r>
    </w:p>
    <w:p w14:paraId="7A8C9E04" w14:textId="76A4F4E1" w:rsidR="006F760C" w:rsidRPr="006F760C" w:rsidRDefault="006F760C" w:rsidP="006F760C">
      <w:pPr>
        <w:numPr>
          <w:ilvl w:val="0"/>
          <w:numId w:val="25"/>
        </w:numPr>
      </w:pPr>
      <w:r>
        <w:t>1 conference room for the workshop</w:t>
      </w:r>
    </w:p>
    <w:p w14:paraId="7F96FFE0" w14:textId="492672D4" w:rsidR="006F760C" w:rsidRPr="006F760C" w:rsidRDefault="006F760C" w:rsidP="006F760C">
      <w:pPr>
        <w:numPr>
          <w:ilvl w:val="0"/>
          <w:numId w:val="25"/>
        </w:numPr>
      </w:pPr>
      <w:r w:rsidRPr="006F760C">
        <w:t xml:space="preserve">Networking spaces </w:t>
      </w:r>
      <w:r>
        <w:t>for catering</w:t>
      </w:r>
    </w:p>
    <w:p w14:paraId="5EE34177" w14:textId="45916E29" w:rsidR="006F760C" w:rsidRPr="006F760C" w:rsidRDefault="006F760C" w:rsidP="006F760C">
      <w:pPr>
        <w:numPr>
          <w:ilvl w:val="0"/>
          <w:numId w:val="25"/>
        </w:numPr>
      </w:pPr>
      <w:r w:rsidRPr="006F760C">
        <w:t xml:space="preserve">Technical equipment for </w:t>
      </w:r>
      <w:r w:rsidR="00417FBC">
        <w:t>presential event</w:t>
      </w:r>
    </w:p>
    <w:p w14:paraId="4F534D45" w14:textId="77777777" w:rsidR="006F760C" w:rsidRPr="006F760C" w:rsidRDefault="006F760C" w:rsidP="006F760C">
      <w:r w:rsidRPr="006F760C">
        <w:rPr>
          <w:b/>
          <w:bCs/>
        </w:rPr>
        <w:t>Study Visit:</w:t>
      </w:r>
    </w:p>
    <w:p w14:paraId="49C81E24" w14:textId="77777777" w:rsidR="006F760C" w:rsidRPr="006F760C" w:rsidRDefault="006F760C" w:rsidP="006F760C">
      <w:pPr>
        <w:numPr>
          <w:ilvl w:val="0"/>
          <w:numId w:val="26"/>
        </w:numPr>
      </w:pPr>
      <w:r w:rsidRPr="006F760C">
        <w:t>Location accessible within 1-hour travel</w:t>
      </w:r>
    </w:p>
    <w:p w14:paraId="1D392F42" w14:textId="77777777" w:rsidR="006F760C" w:rsidRPr="006F760C" w:rsidRDefault="006F760C" w:rsidP="006F760C">
      <w:pPr>
        <w:numPr>
          <w:ilvl w:val="0"/>
          <w:numId w:val="26"/>
        </w:numPr>
      </w:pPr>
      <w:r w:rsidRPr="006F760C">
        <w:t>Project demonstrating tangible cooperation outcomes</w:t>
      </w:r>
    </w:p>
    <w:p w14:paraId="35D6CB32" w14:textId="77777777" w:rsidR="006F760C" w:rsidRPr="006F760C" w:rsidRDefault="006F760C" w:rsidP="006F760C">
      <w:pPr>
        <w:numPr>
          <w:ilvl w:val="0"/>
          <w:numId w:val="26"/>
        </w:numPr>
      </w:pPr>
      <w:r w:rsidRPr="006F760C">
        <w:t>Capacity to host full group with presentations and interaction</w:t>
      </w:r>
    </w:p>
    <w:sectPr w:rsidR="006F760C" w:rsidRPr="006F760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91E63"/>
    <w:multiLevelType w:val="multilevel"/>
    <w:tmpl w:val="CADAB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852C9F"/>
    <w:multiLevelType w:val="multilevel"/>
    <w:tmpl w:val="2B163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9716D2"/>
    <w:multiLevelType w:val="multilevel"/>
    <w:tmpl w:val="65FCD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A12C74"/>
    <w:multiLevelType w:val="multilevel"/>
    <w:tmpl w:val="2BC6D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B91DFB"/>
    <w:multiLevelType w:val="multilevel"/>
    <w:tmpl w:val="D73CB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924BC2"/>
    <w:multiLevelType w:val="multilevel"/>
    <w:tmpl w:val="4A701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7D0F2F"/>
    <w:multiLevelType w:val="multilevel"/>
    <w:tmpl w:val="5C56E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722236"/>
    <w:multiLevelType w:val="multilevel"/>
    <w:tmpl w:val="3392E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1A55ED"/>
    <w:multiLevelType w:val="multilevel"/>
    <w:tmpl w:val="4D926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F152AE4"/>
    <w:multiLevelType w:val="multilevel"/>
    <w:tmpl w:val="2BA81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51F518D"/>
    <w:multiLevelType w:val="multilevel"/>
    <w:tmpl w:val="837E1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BF346A3"/>
    <w:multiLevelType w:val="multilevel"/>
    <w:tmpl w:val="38A0D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D6A6C6D"/>
    <w:multiLevelType w:val="multilevel"/>
    <w:tmpl w:val="D87C8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4295087"/>
    <w:multiLevelType w:val="multilevel"/>
    <w:tmpl w:val="02C0E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1A21B41"/>
    <w:multiLevelType w:val="multilevel"/>
    <w:tmpl w:val="962EE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6F03B3C"/>
    <w:multiLevelType w:val="multilevel"/>
    <w:tmpl w:val="4FE8F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81A44BF"/>
    <w:multiLevelType w:val="multilevel"/>
    <w:tmpl w:val="2F5A0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D964304"/>
    <w:multiLevelType w:val="multilevel"/>
    <w:tmpl w:val="5DB8F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2196231"/>
    <w:multiLevelType w:val="multilevel"/>
    <w:tmpl w:val="80361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568480D"/>
    <w:multiLevelType w:val="multilevel"/>
    <w:tmpl w:val="B9822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94F739F"/>
    <w:multiLevelType w:val="multilevel"/>
    <w:tmpl w:val="B970A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C1274BC"/>
    <w:multiLevelType w:val="multilevel"/>
    <w:tmpl w:val="37066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FFF138F"/>
    <w:multiLevelType w:val="multilevel"/>
    <w:tmpl w:val="0A886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B9804D2"/>
    <w:multiLevelType w:val="multilevel"/>
    <w:tmpl w:val="1A42C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24C212B"/>
    <w:multiLevelType w:val="multilevel"/>
    <w:tmpl w:val="6C662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2F73866"/>
    <w:multiLevelType w:val="multilevel"/>
    <w:tmpl w:val="B38A6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2F74FC8"/>
    <w:multiLevelType w:val="multilevel"/>
    <w:tmpl w:val="D3761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39D1059"/>
    <w:multiLevelType w:val="multilevel"/>
    <w:tmpl w:val="8E84E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E1F37B9"/>
    <w:multiLevelType w:val="multilevel"/>
    <w:tmpl w:val="F3B4E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F07013E"/>
    <w:multiLevelType w:val="multilevel"/>
    <w:tmpl w:val="8E92E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F104BC6"/>
    <w:multiLevelType w:val="multilevel"/>
    <w:tmpl w:val="62749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69158432">
    <w:abstractNumId w:val="4"/>
  </w:num>
  <w:num w:numId="2" w16cid:durableId="1253706330">
    <w:abstractNumId w:val="26"/>
  </w:num>
  <w:num w:numId="3" w16cid:durableId="982347674">
    <w:abstractNumId w:val="17"/>
  </w:num>
  <w:num w:numId="4" w16cid:durableId="486747776">
    <w:abstractNumId w:val="10"/>
  </w:num>
  <w:num w:numId="5" w16cid:durableId="1397320975">
    <w:abstractNumId w:val="7"/>
  </w:num>
  <w:num w:numId="6" w16cid:durableId="1598832497">
    <w:abstractNumId w:val="5"/>
  </w:num>
  <w:num w:numId="7" w16cid:durableId="1981230249">
    <w:abstractNumId w:val="9"/>
  </w:num>
  <w:num w:numId="8" w16cid:durableId="1334991469">
    <w:abstractNumId w:val="3"/>
  </w:num>
  <w:num w:numId="9" w16cid:durableId="1019116323">
    <w:abstractNumId w:val="15"/>
  </w:num>
  <w:num w:numId="10" w16cid:durableId="1885410395">
    <w:abstractNumId w:val="18"/>
  </w:num>
  <w:num w:numId="11" w16cid:durableId="1542746530">
    <w:abstractNumId w:val="0"/>
  </w:num>
  <w:num w:numId="12" w16cid:durableId="1625115250">
    <w:abstractNumId w:val="8"/>
  </w:num>
  <w:num w:numId="13" w16cid:durableId="1297685791">
    <w:abstractNumId w:val="16"/>
  </w:num>
  <w:num w:numId="14" w16cid:durableId="1706900903">
    <w:abstractNumId w:val="22"/>
  </w:num>
  <w:num w:numId="15" w16cid:durableId="744109976">
    <w:abstractNumId w:val="24"/>
  </w:num>
  <w:num w:numId="16" w16cid:durableId="45300067">
    <w:abstractNumId w:val="27"/>
  </w:num>
  <w:num w:numId="17" w16cid:durableId="992098623">
    <w:abstractNumId w:val="20"/>
  </w:num>
  <w:num w:numId="18" w16cid:durableId="1573271978">
    <w:abstractNumId w:val="25"/>
  </w:num>
  <w:num w:numId="19" w16cid:durableId="667101868">
    <w:abstractNumId w:val="28"/>
  </w:num>
  <w:num w:numId="20" w16cid:durableId="1052386639">
    <w:abstractNumId w:val="19"/>
  </w:num>
  <w:num w:numId="21" w16cid:durableId="1232352337">
    <w:abstractNumId w:val="1"/>
  </w:num>
  <w:num w:numId="22" w16cid:durableId="28187264">
    <w:abstractNumId w:val="14"/>
  </w:num>
  <w:num w:numId="23" w16cid:durableId="994182497">
    <w:abstractNumId w:val="21"/>
  </w:num>
  <w:num w:numId="24" w16cid:durableId="642464592">
    <w:abstractNumId w:val="29"/>
  </w:num>
  <w:num w:numId="25" w16cid:durableId="1859151751">
    <w:abstractNumId w:val="6"/>
  </w:num>
  <w:num w:numId="26" w16cid:durableId="1227692574">
    <w:abstractNumId w:val="30"/>
  </w:num>
  <w:num w:numId="27" w16cid:durableId="143393671">
    <w:abstractNumId w:val="13"/>
  </w:num>
  <w:num w:numId="28" w16cid:durableId="1190876116">
    <w:abstractNumId w:val="2"/>
  </w:num>
  <w:num w:numId="29" w16cid:durableId="2140223909">
    <w:abstractNumId w:val="12"/>
  </w:num>
  <w:num w:numId="30" w16cid:durableId="1848784354">
    <w:abstractNumId w:val="11"/>
  </w:num>
  <w:num w:numId="31" w16cid:durableId="36459916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60C"/>
    <w:rsid w:val="00106847"/>
    <w:rsid w:val="00383DE3"/>
    <w:rsid w:val="004003A1"/>
    <w:rsid w:val="00407B1F"/>
    <w:rsid w:val="00417FBC"/>
    <w:rsid w:val="004D5A11"/>
    <w:rsid w:val="00515B48"/>
    <w:rsid w:val="006512B4"/>
    <w:rsid w:val="006F760C"/>
    <w:rsid w:val="007C584C"/>
    <w:rsid w:val="0082016A"/>
    <w:rsid w:val="009C286F"/>
    <w:rsid w:val="00B77397"/>
    <w:rsid w:val="00C62937"/>
    <w:rsid w:val="00CC5515"/>
    <w:rsid w:val="00D3762F"/>
    <w:rsid w:val="00D612A4"/>
    <w:rsid w:val="00DD45B6"/>
    <w:rsid w:val="00E86FFC"/>
    <w:rsid w:val="00F3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2EC7B"/>
  <w15:chartTrackingRefBased/>
  <w15:docId w15:val="{1F9042B1-51B6-48CA-9243-90B98CD66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76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6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6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6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6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6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6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6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6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6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6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6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60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60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6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6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6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6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76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76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6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76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76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76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76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76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6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6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760C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F37C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7C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7C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7C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7C2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068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1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7728">
          <w:marLeft w:val="0"/>
          <w:marRight w:val="0"/>
          <w:marTop w:val="0"/>
          <w:marBottom w:val="0"/>
          <w:divBdr>
            <w:top w:val="single" w:sz="2" w:space="0" w:color="1F1E1D"/>
            <w:left w:val="single" w:sz="2" w:space="0" w:color="1F1E1D"/>
            <w:bottom w:val="single" w:sz="2" w:space="0" w:color="1F1E1D"/>
            <w:right w:val="single" w:sz="2" w:space="0" w:color="1F1E1D"/>
          </w:divBdr>
          <w:divsChild>
            <w:div w:id="815221203">
              <w:marLeft w:val="0"/>
              <w:marRight w:val="0"/>
              <w:marTop w:val="0"/>
              <w:marBottom w:val="0"/>
              <w:divBdr>
                <w:top w:val="single" w:sz="2" w:space="0" w:color="1F1E1D"/>
                <w:left w:val="single" w:sz="2" w:space="0" w:color="1F1E1D"/>
                <w:bottom w:val="single" w:sz="2" w:space="0" w:color="1F1E1D"/>
                <w:right w:val="single" w:sz="2" w:space="0" w:color="1F1E1D"/>
              </w:divBdr>
            </w:div>
          </w:divsChild>
        </w:div>
      </w:divsChild>
    </w:div>
    <w:div w:id="12425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32925">
          <w:marLeft w:val="0"/>
          <w:marRight w:val="0"/>
          <w:marTop w:val="0"/>
          <w:marBottom w:val="0"/>
          <w:divBdr>
            <w:top w:val="single" w:sz="2" w:space="0" w:color="1F1E1D"/>
            <w:left w:val="single" w:sz="2" w:space="0" w:color="1F1E1D"/>
            <w:bottom w:val="single" w:sz="2" w:space="0" w:color="1F1E1D"/>
            <w:right w:val="single" w:sz="2" w:space="0" w:color="1F1E1D"/>
          </w:divBdr>
          <w:divsChild>
            <w:div w:id="1024670044">
              <w:marLeft w:val="0"/>
              <w:marRight w:val="0"/>
              <w:marTop w:val="0"/>
              <w:marBottom w:val="0"/>
              <w:divBdr>
                <w:top w:val="single" w:sz="2" w:space="0" w:color="1F1E1D"/>
                <w:left w:val="single" w:sz="2" w:space="0" w:color="1F1E1D"/>
                <w:bottom w:val="single" w:sz="2" w:space="0" w:color="1F1E1D"/>
                <w:right w:val="single" w:sz="2" w:space="0" w:color="1F1E1D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86961-FA39-450A-8687-E2E09964B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Generalitat Valenciana</Company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GEORGIEV KANATOV, STOYAN</dc:creator>
  <cp:keywords/>
  <dc:description/>
  <cp:lastModifiedBy>Stoyan Kanatov</cp:lastModifiedBy>
  <cp:revision>5</cp:revision>
  <dcterms:created xsi:type="dcterms:W3CDTF">2025-10-21T10:45:00Z</dcterms:created>
  <dcterms:modified xsi:type="dcterms:W3CDTF">2026-02-02T10:38:00Z</dcterms:modified>
</cp:coreProperties>
</file>