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324945057"/>
        <w:docPartObj>
          <w:docPartGallery w:val="Cover Pages"/>
          <w:docPartUnique/>
        </w:docPartObj>
      </w:sdtPr>
      <w:sdtEndPr>
        <w:rPr>
          <w:caps/>
          <w:smallCaps/>
        </w:rPr>
      </w:sdtEndPr>
      <w:sdtContent>
        <w:p w14:paraId="5153D952" w14:textId="6BF0AFF5" w:rsidR="00F11066" w:rsidRDefault="00F11066" w:rsidP="00F11066">
          <w:pPr>
            <w:rPr>
              <w:caps/>
              <w:smallCaps/>
            </w:rPr>
          </w:pPr>
          <w:r>
            <w:rPr>
              <w:noProof/>
            </w:rPr>
            <w:drawing>
              <wp:inline distT="0" distB="0" distL="0" distR="0" wp14:anchorId="0B9B43FE" wp14:editId="5E8C0FA9">
                <wp:extent cx="1371600" cy="676800"/>
                <wp:effectExtent l="0" t="0" r="0" b="0"/>
                <wp:docPr id="9" name="Picture 9"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p w14:paraId="47D4C0DC" w14:textId="77777777" w:rsidR="00F11066" w:rsidRDefault="00F11066" w:rsidP="00F11066">
          <w:pPr>
            <w:spacing w:before="0" w:after="200"/>
            <w:rPr>
              <w:caps/>
              <w:smallCaps/>
            </w:rPr>
          </w:pPr>
        </w:p>
        <w:p w14:paraId="7F88B88B" w14:textId="77777777" w:rsidR="00F11066" w:rsidRDefault="00F11066" w:rsidP="00F11066">
          <w:pPr>
            <w:spacing w:before="0" w:after="200"/>
            <w:rPr>
              <w:caps/>
              <w:smallCaps/>
            </w:rPr>
          </w:pPr>
        </w:p>
        <w:p w14:paraId="5539EADC" w14:textId="77777777" w:rsidR="00F11066" w:rsidRDefault="00F11066" w:rsidP="00F11066">
          <w:pPr>
            <w:spacing w:before="0" w:after="200"/>
            <w:rPr>
              <w:caps/>
              <w:smallCaps/>
            </w:rPr>
          </w:pPr>
        </w:p>
        <w:p w14:paraId="0D376D2D" w14:textId="77777777" w:rsidR="00F11066" w:rsidRDefault="00F11066" w:rsidP="00F11066">
          <w:pPr>
            <w:spacing w:before="0" w:after="200"/>
            <w:rPr>
              <w:caps/>
              <w:smallCaps/>
            </w:rPr>
          </w:pPr>
        </w:p>
        <w:p w14:paraId="71DDBF62" w14:textId="77777777" w:rsidR="00F11066" w:rsidRDefault="00F11066" w:rsidP="00F11066">
          <w:pPr>
            <w:spacing w:before="0" w:after="200"/>
            <w:rPr>
              <w:caps/>
              <w:smallCaps/>
            </w:rPr>
          </w:pPr>
        </w:p>
        <w:p w14:paraId="2D63A53E" w14:textId="77777777" w:rsidR="00F11066" w:rsidRDefault="00F11066" w:rsidP="00F11066">
          <w:pPr>
            <w:spacing w:before="0" w:after="200"/>
            <w:rPr>
              <w:caps/>
              <w:smallCaps/>
            </w:rPr>
          </w:pPr>
        </w:p>
        <w:p w14:paraId="3ED133C4" w14:textId="77777777" w:rsidR="00F11066" w:rsidRDefault="00F11066" w:rsidP="00F11066">
          <w:pPr>
            <w:pStyle w:val="Typedudocument"/>
            <w:rPr>
              <w:rFonts w:asciiTheme="minorHAnsi" w:hAnsiTheme="minorHAnsi" w:cstheme="minorHAnsi"/>
              <w:sz w:val="32"/>
              <w:szCs w:val="32"/>
            </w:rPr>
          </w:pPr>
        </w:p>
        <w:p w14:paraId="0C4AFFA2" w14:textId="77777777" w:rsidR="00F11066" w:rsidRDefault="00F11066" w:rsidP="00F11066">
          <w:pPr>
            <w:pStyle w:val="Typedudocument"/>
            <w:rPr>
              <w:rFonts w:asciiTheme="minorHAnsi" w:hAnsiTheme="minorHAnsi" w:cstheme="minorHAnsi"/>
              <w:sz w:val="32"/>
              <w:szCs w:val="32"/>
            </w:rPr>
          </w:pPr>
        </w:p>
        <w:p w14:paraId="1D124C37" w14:textId="7ABBA8E3" w:rsidR="00F11066" w:rsidRPr="00F11066" w:rsidRDefault="00F11066" w:rsidP="00F11066">
          <w:pPr>
            <w:pStyle w:val="Typedudocument"/>
            <w:rPr>
              <w:rFonts w:asciiTheme="minorHAnsi" w:hAnsiTheme="minorHAnsi" w:cstheme="minorHAnsi"/>
              <w:sz w:val="32"/>
              <w:szCs w:val="32"/>
            </w:rPr>
          </w:pPr>
          <w:r w:rsidRPr="00F11066">
            <w:rPr>
              <w:rFonts w:asciiTheme="minorHAnsi" w:hAnsiTheme="minorHAnsi" w:cstheme="minorHAnsi"/>
              <w:sz w:val="32"/>
              <w:szCs w:val="32"/>
            </w:rPr>
            <w:t>COMMISSION NOTICE</w:t>
          </w:r>
        </w:p>
        <w:p w14:paraId="29431E22" w14:textId="77777777" w:rsidR="00F11066" w:rsidRPr="00F11066" w:rsidRDefault="00F11066" w:rsidP="00F11066"/>
        <w:p w14:paraId="62029D30" w14:textId="1F1F3C3B" w:rsidR="00F11066" w:rsidRPr="00F11066" w:rsidRDefault="00F11066" w:rsidP="00F11066">
          <w:pPr>
            <w:spacing w:before="0" w:after="200"/>
            <w:jc w:val="center"/>
            <w:rPr>
              <w:b/>
              <w:bCs/>
              <w:caps/>
              <w:smallCaps/>
              <w:sz w:val="24"/>
              <w:szCs w:val="24"/>
            </w:rPr>
          </w:pPr>
          <w:r w:rsidRPr="00F11066">
            <w:rPr>
              <w:b/>
              <w:bCs/>
              <w:caps/>
              <w:smallCaps/>
              <w:sz w:val="24"/>
              <w:szCs w:val="24"/>
            </w:rPr>
            <w:t xml:space="preserve">GUIDELINES ON THE USE OF SIMPLIFIED COST OPTIONS WITHIN THE EUROPEAN STRUCTURAL AND INVESTMENTC FUNDS COVERED BY THE REGULATION (EU) 2021/1060 (COMMON PROVISIONS REGULATION) </w:t>
          </w:r>
        </w:p>
        <w:p w14:paraId="19553805" w14:textId="77777777" w:rsidR="00F11066" w:rsidRPr="00F11066" w:rsidRDefault="00F11066" w:rsidP="00F11066">
          <w:pPr>
            <w:spacing w:before="0" w:after="200"/>
            <w:rPr>
              <w:caps/>
              <w:smallCaps/>
            </w:rPr>
          </w:pPr>
          <w:r w:rsidRPr="00F11066">
            <w:rPr>
              <w:caps/>
              <w:smallCaps/>
            </w:rPr>
            <w:tab/>
          </w:r>
        </w:p>
        <w:p w14:paraId="0C89F8A4" w14:textId="77777777" w:rsidR="00F11066" w:rsidRDefault="00F11066" w:rsidP="00F11066">
          <w:pPr>
            <w:spacing w:before="0" w:after="200"/>
            <w:rPr>
              <w:caps/>
              <w:smallCaps/>
            </w:rPr>
          </w:pPr>
        </w:p>
        <w:p w14:paraId="59636985" w14:textId="77777777" w:rsidR="00F11066" w:rsidRDefault="00F11066" w:rsidP="00F11066"/>
        <w:p w14:paraId="75C1232F" w14:textId="77777777" w:rsidR="00F11066" w:rsidRDefault="00F11066" w:rsidP="00F11066"/>
        <w:p w14:paraId="13B66CF5" w14:textId="77777777" w:rsidR="00F11066" w:rsidRDefault="00F11066" w:rsidP="00F11066"/>
        <w:p w14:paraId="0DE52CF0" w14:textId="77777777" w:rsidR="00F11066" w:rsidRDefault="00F11066" w:rsidP="00F11066"/>
        <w:p w14:paraId="225F063C" w14:textId="77777777" w:rsidR="00F11066" w:rsidRDefault="00F11066" w:rsidP="00F11066"/>
        <w:p w14:paraId="5BE038A6" w14:textId="77777777" w:rsidR="00F11066" w:rsidRPr="00AF4E70" w:rsidRDefault="00F11066" w:rsidP="00F11066"/>
        <w:p w14:paraId="55D3FFD0" w14:textId="77777777" w:rsidR="00F11066" w:rsidRPr="00F11066" w:rsidRDefault="00F11066" w:rsidP="00F11066">
          <w:pPr>
            <w:pBdr>
              <w:top w:val="single" w:sz="4" w:space="1" w:color="auto"/>
              <w:left w:val="single" w:sz="4" w:space="4" w:color="auto"/>
              <w:bottom w:val="single" w:sz="4" w:space="1" w:color="auto"/>
              <w:right w:val="single" w:sz="4" w:space="4" w:color="auto"/>
            </w:pBdr>
            <w:rPr>
              <w:rFonts w:cstheme="minorHAnsi"/>
              <w:b/>
            </w:rPr>
          </w:pPr>
          <w:r w:rsidRPr="00F11066">
            <w:rPr>
              <w:rFonts w:cstheme="minorHAnsi"/>
              <w:b/>
            </w:rPr>
            <w:t xml:space="preserve">DISCLAIMER: </w:t>
          </w:r>
        </w:p>
        <w:p w14:paraId="57384D86" w14:textId="33CFAC7E" w:rsidR="00F11066" w:rsidRPr="00F11066" w:rsidRDefault="00F11066" w:rsidP="00F11066">
          <w:pPr>
            <w:pBdr>
              <w:top w:val="single" w:sz="4" w:space="1" w:color="auto"/>
              <w:left w:val="single" w:sz="4" w:space="4" w:color="auto"/>
              <w:bottom w:val="single" w:sz="4" w:space="1" w:color="auto"/>
              <w:right w:val="single" w:sz="4" w:space="4" w:color="auto"/>
            </w:pBdr>
            <w:rPr>
              <w:i/>
              <w:iCs/>
            </w:rPr>
          </w:pPr>
          <w:r w:rsidRPr="00F11066">
            <w:rPr>
              <w:rFonts w:cstheme="minorHAnsi"/>
              <w:i/>
              <w:iCs/>
              <w:lang w:val="en-US"/>
            </w:rPr>
            <w:t xml:space="preserve">´This is a working document prepared by the Commission services. </w:t>
          </w:r>
          <w:proofErr w:type="gramStart"/>
          <w:r w:rsidRPr="00F11066">
            <w:rPr>
              <w:rFonts w:cstheme="minorHAnsi"/>
              <w:i/>
              <w:iCs/>
              <w:lang w:val="en-US"/>
            </w:rPr>
            <w:t>On the basis of</w:t>
          </w:r>
          <w:proofErr w:type="gramEnd"/>
          <w:r w:rsidRPr="00F11066">
            <w:rPr>
              <w:rFonts w:cstheme="minorHAnsi"/>
              <w:i/>
              <w:iCs/>
              <w:lang w:val="en-US"/>
            </w:rPr>
            <w:t xml:space="preserve"> applicable EU law, it provides technical guidance for colleagues and bodies involved in the monitoring, control or implementation of the Common Provisions Regulation Funds. This guidance is without prejudice to the interpretation of the Court of Justice and the General Court.’</w:t>
          </w:r>
          <w:r>
            <w:rPr>
              <w:caps/>
              <w:smallCaps/>
            </w:rPr>
            <w:br w:type="page"/>
          </w:r>
        </w:p>
        <w:p w14:paraId="2D62672C" w14:textId="18C4F6AF" w:rsidR="00F11066" w:rsidRDefault="00F11066">
          <w:pPr>
            <w:spacing w:before="0" w:after="200"/>
            <w:rPr>
              <w:caps/>
            </w:rPr>
          </w:pPr>
        </w:p>
      </w:sdtContent>
    </w:sdt>
    <w:sdt>
      <w:sdtPr>
        <w:rPr>
          <w:caps/>
          <w:smallCaps w:val="0"/>
          <w:spacing w:val="0"/>
          <w:sz w:val="20"/>
          <w:szCs w:val="20"/>
        </w:rPr>
        <w:id w:val="-1115515453"/>
        <w:docPartObj>
          <w:docPartGallery w:val="Table of Contents"/>
          <w:docPartUnique/>
        </w:docPartObj>
      </w:sdtPr>
      <w:sdtEndPr>
        <w:rPr>
          <w:caps w:val="0"/>
          <w:noProof/>
        </w:rPr>
      </w:sdtEndPr>
      <w:sdtContent>
        <w:p w14:paraId="1B877DF0" w14:textId="3EADD21D" w:rsidR="00003234" w:rsidRPr="00003234" w:rsidRDefault="001E7513" w:rsidP="00B32403">
          <w:pPr>
            <w:pStyle w:val="TOCHeading"/>
          </w:pPr>
          <w:r>
            <w:t>Contents</w:t>
          </w:r>
        </w:p>
        <w:p w14:paraId="1B4FAA82" w14:textId="6A07F49E" w:rsidR="00117CF8" w:rsidRDefault="001E7513">
          <w:pPr>
            <w:pStyle w:val="TOC1"/>
            <w:rPr>
              <w:noProof/>
              <w:kern w:val="2"/>
              <w:sz w:val="22"/>
              <w:szCs w:val="22"/>
              <w:lang w:val="en-IE" w:eastAsia="en-IE"/>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68350285" w:history="1">
            <w:r w:rsidR="00117CF8" w:rsidRPr="00C072A1">
              <w:rPr>
                <w:rStyle w:val="Hyperlink"/>
                <w:noProof/>
              </w:rPr>
              <w:t>Preamble</w:t>
            </w:r>
            <w:r w:rsidR="00117CF8">
              <w:rPr>
                <w:noProof/>
                <w:webHidden/>
              </w:rPr>
              <w:tab/>
            </w:r>
            <w:r w:rsidR="00117CF8">
              <w:rPr>
                <w:noProof/>
                <w:webHidden/>
              </w:rPr>
              <w:fldChar w:fldCharType="begin"/>
            </w:r>
            <w:r w:rsidR="00117CF8">
              <w:rPr>
                <w:noProof/>
                <w:webHidden/>
              </w:rPr>
              <w:instrText xml:space="preserve"> PAGEREF _Toc168350285 \h </w:instrText>
            </w:r>
            <w:r w:rsidR="00117CF8">
              <w:rPr>
                <w:noProof/>
                <w:webHidden/>
              </w:rPr>
            </w:r>
            <w:r w:rsidR="00117CF8">
              <w:rPr>
                <w:noProof/>
                <w:webHidden/>
              </w:rPr>
              <w:fldChar w:fldCharType="separate"/>
            </w:r>
            <w:r w:rsidR="00117CF8">
              <w:rPr>
                <w:noProof/>
                <w:webHidden/>
              </w:rPr>
              <w:t>3</w:t>
            </w:r>
            <w:r w:rsidR="00117CF8">
              <w:rPr>
                <w:noProof/>
                <w:webHidden/>
              </w:rPr>
              <w:fldChar w:fldCharType="end"/>
            </w:r>
          </w:hyperlink>
        </w:p>
        <w:p w14:paraId="5A4CF546" w14:textId="09374531" w:rsidR="00117CF8" w:rsidRDefault="00117CF8">
          <w:pPr>
            <w:pStyle w:val="TOC1"/>
            <w:rPr>
              <w:noProof/>
              <w:kern w:val="2"/>
              <w:sz w:val="22"/>
              <w:szCs w:val="22"/>
              <w:lang w:val="en-IE" w:eastAsia="en-IE"/>
              <w14:ligatures w14:val="standardContextual"/>
            </w:rPr>
          </w:pPr>
          <w:hyperlink w:anchor="_Toc168350286" w:history="1">
            <w:r w:rsidRPr="00C072A1">
              <w:rPr>
                <w:rStyle w:val="Hyperlink"/>
                <w:b/>
                <w:bCs/>
                <w:noProof/>
              </w:rPr>
              <w:t>Chapter 1: Introduction to simplified cost options</w:t>
            </w:r>
            <w:r>
              <w:rPr>
                <w:noProof/>
                <w:webHidden/>
              </w:rPr>
              <w:tab/>
            </w:r>
            <w:r>
              <w:rPr>
                <w:noProof/>
                <w:webHidden/>
              </w:rPr>
              <w:fldChar w:fldCharType="begin"/>
            </w:r>
            <w:r>
              <w:rPr>
                <w:noProof/>
                <w:webHidden/>
              </w:rPr>
              <w:instrText xml:space="preserve"> PAGEREF _Toc168350286 \h </w:instrText>
            </w:r>
            <w:r>
              <w:rPr>
                <w:noProof/>
                <w:webHidden/>
              </w:rPr>
            </w:r>
            <w:r>
              <w:rPr>
                <w:noProof/>
                <w:webHidden/>
              </w:rPr>
              <w:fldChar w:fldCharType="separate"/>
            </w:r>
            <w:r>
              <w:rPr>
                <w:noProof/>
                <w:webHidden/>
              </w:rPr>
              <w:t>4</w:t>
            </w:r>
            <w:r>
              <w:rPr>
                <w:noProof/>
                <w:webHidden/>
              </w:rPr>
              <w:fldChar w:fldCharType="end"/>
            </w:r>
          </w:hyperlink>
        </w:p>
        <w:p w14:paraId="556A532C" w14:textId="2F95649C" w:rsidR="00117CF8" w:rsidRDefault="00117CF8">
          <w:pPr>
            <w:pStyle w:val="TOC2"/>
            <w:rPr>
              <w:b w:val="0"/>
              <w:bCs w:val="0"/>
              <w:kern w:val="2"/>
              <w:sz w:val="22"/>
              <w:szCs w:val="22"/>
              <w:lang w:val="en-IE" w:eastAsia="en-IE"/>
              <w14:ligatures w14:val="standardContextual"/>
            </w:rPr>
          </w:pPr>
          <w:hyperlink w:anchor="_Toc168350287" w:history="1">
            <w:r w:rsidRPr="00C072A1">
              <w:rPr>
                <w:rStyle w:val="Hyperlink"/>
              </w:rPr>
              <w:t>1.1.</w:t>
            </w:r>
            <w:r>
              <w:rPr>
                <w:b w:val="0"/>
                <w:bCs w:val="0"/>
                <w:kern w:val="2"/>
                <w:sz w:val="22"/>
                <w:szCs w:val="22"/>
                <w:lang w:val="en-IE" w:eastAsia="en-IE"/>
                <w14:ligatures w14:val="standardContextual"/>
              </w:rPr>
              <w:tab/>
            </w:r>
            <w:r w:rsidRPr="00C072A1">
              <w:rPr>
                <w:rStyle w:val="Hyperlink"/>
              </w:rPr>
              <w:t>What are simplified cost options and why use them?</w:t>
            </w:r>
            <w:r>
              <w:rPr>
                <w:webHidden/>
              </w:rPr>
              <w:tab/>
            </w:r>
            <w:r>
              <w:rPr>
                <w:webHidden/>
              </w:rPr>
              <w:fldChar w:fldCharType="begin"/>
            </w:r>
            <w:r>
              <w:rPr>
                <w:webHidden/>
              </w:rPr>
              <w:instrText xml:space="preserve"> PAGEREF _Toc168350287 \h </w:instrText>
            </w:r>
            <w:r>
              <w:rPr>
                <w:webHidden/>
              </w:rPr>
            </w:r>
            <w:r>
              <w:rPr>
                <w:webHidden/>
              </w:rPr>
              <w:fldChar w:fldCharType="separate"/>
            </w:r>
            <w:r>
              <w:rPr>
                <w:webHidden/>
              </w:rPr>
              <w:t>4</w:t>
            </w:r>
            <w:r>
              <w:rPr>
                <w:webHidden/>
              </w:rPr>
              <w:fldChar w:fldCharType="end"/>
            </w:r>
          </w:hyperlink>
        </w:p>
        <w:p w14:paraId="6B05A988" w14:textId="2773609A" w:rsidR="00117CF8" w:rsidRDefault="00117CF8">
          <w:pPr>
            <w:pStyle w:val="TOC2"/>
            <w:rPr>
              <w:b w:val="0"/>
              <w:bCs w:val="0"/>
              <w:kern w:val="2"/>
              <w:sz w:val="22"/>
              <w:szCs w:val="22"/>
              <w:lang w:val="en-IE" w:eastAsia="en-IE"/>
              <w14:ligatures w14:val="standardContextual"/>
            </w:rPr>
          </w:pPr>
          <w:hyperlink w:anchor="_Toc168350288" w:history="1">
            <w:r w:rsidRPr="00C072A1">
              <w:rPr>
                <w:rStyle w:val="Hyperlink"/>
              </w:rPr>
              <w:t>1.2.</w:t>
            </w:r>
            <w:r>
              <w:rPr>
                <w:b w:val="0"/>
                <w:bCs w:val="0"/>
                <w:kern w:val="2"/>
                <w:sz w:val="22"/>
                <w:szCs w:val="22"/>
                <w:lang w:val="en-IE" w:eastAsia="en-IE"/>
                <w14:ligatures w14:val="standardContextual"/>
              </w:rPr>
              <w:tab/>
            </w:r>
            <w:r w:rsidRPr="00C072A1">
              <w:rPr>
                <w:rStyle w:val="Hyperlink"/>
              </w:rPr>
              <w:t>Where best to use simplified cost options</w:t>
            </w:r>
            <w:r>
              <w:rPr>
                <w:webHidden/>
              </w:rPr>
              <w:tab/>
            </w:r>
            <w:r>
              <w:rPr>
                <w:webHidden/>
              </w:rPr>
              <w:fldChar w:fldCharType="begin"/>
            </w:r>
            <w:r>
              <w:rPr>
                <w:webHidden/>
              </w:rPr>
              <w:instrText xml:space="preserve"> PAGEREF _Toc168350288 \h </w:instrText>
            </w:r>
            <w:r>
              <w:rPr>
                <w:webHidden/>
              </w:rPr>
            </w:r>
            <w:r>
              <w:rPr>
                <w:webHidden/>
              </w:rPr>
              <w:fldChar w:fldCharType="separate"/>
            </w:r>
            <w:r>
              <w:rPr>
                <w:webHidden/>
              </w:rPr>
              <w:t>4</w:t>
            </w:r>
            <w:r>
              <w:rPr>
                <w:webHidden/>
              </w:rPr>
              <w:fldChar w:fldCharType="end"/>
            </w:r>
          </w:hyperlink>
        </w:p>
        <w:p w14:paraId="5345AB7C" w14:textId="3EFC4705" w:rsidR="00117CF8" w:rsidRDefault="00117CF8">
          <w:pPr>
            <w:pStyle w:val="TOC2"/>
            <w:rPr>
              <w:b w:val="0"/>
              <w:bCs w:val="0"/>
              <w:kern w:val="2"/>
              <w:sz w:val="22"/>
              <w:szCs w:val="22"/>
              <w:lang w:val="en-IE" w:eastAsia="en-IE"/>
              <w14:ligatures w14:val="standardContextual"/>
            </w:rPr>
          </w:pPr>
          <w:hyperlink w:anchor="_Toc168350289" w:history="1">
            <w:r w:rsidRPr="00C072A1">
              <w:rPr>
                <w:rStyle w:val="Hyperlink"/>
              </w:rPr>
              <w:t>1.3.</w:t>
            </w:r>
            <w:r>
              <w:rPr>
                <w:b w:val="0"/>
                <w:bCs w:val="0"/>
                <w:kern w:val="2"/>
                <w:sz w:val="22"/>
                <w:szCs w:val="22"/>
                <w:lang w:val="en-IE" w:eastAsia="en-IE"/>
                <w14:ligatures w14:val="standardContextual"/>
              </w:rPr>
              <w:tab/>
            </w:r>
            <w:r w:rsidRPr="00C072A1">
              <w:rPr>
                <w:rStyle w:val="Hyperlink"/>
              </w:rPr>
              <w:t>Use of simplified cost options at two levels of reimbursement</w:t>
            </w:r>
            <w:r>
              <w:rPr>
                <w:webHidden/>
              </w:rPr>
              <w:tab/>
            </w:r>
            <w:r>
              <w:rPr>
                <w:webHidden/>
              </w:rPr>
              <w:fldChar w:fldCharType="begin"/>
            </w:r>
            <w:r>
              <w:rPr>
                <w:webHidden/>
              </w:rPr>
              <w:instrText xml:space="preserve"> PAGEREF _Toc168350289 \h </w:instrText>
            </w:r>
            <w:r>
              <w:rPr>
                <w:webHidden/>
              </w:rPr>
            </w:r>
            <w:r>
              <w:rPr>
                <w:webHidden/>
              </w:rPr>
              <w:fldChar w:fldCharType="separate"/>
            </w:r>
            <w:r>
              <w:rPr>
                <w:webHidden/>
              </w:rPr>
              <w:t>5</w:t>
            </w:r>
            <w:r>
              <w:rPr>
                <w:webHidden/>
              </w:rPr>
              <w:fldChar w:fldCharType="end"/>
            </w:r>
          </w:hyperlink>
        </w:p>
        <w:p w14:paraId="32D08F3C" w14:textId="26EE4B5F" w:rsidR="00117CF8" w:rsidRDefault="00117CF8">
          <w:pPr>
            <w:pStyle w:val="TOC2"/>
            <w:rPr>
              <w:b w:val="0"/>
              <w:bCs w:val="0"/>
              <w:kern w:val="2"/>
              <w:sz w:val="22"/>
              <w:szCs w:val="22"/>
              <w:lang w:val="en-IE" w:eastAsia="en-IE"/>
              <w14:ligatures w14:val="standardContextual"/>
            </w:rPr>
          </w:pPr>
          <w:hyperlink w:anchor="_Toc168350290" w:history="1">
            <w:r w:rsidRPr="00C072A1">
              <w:rPr>
                <w:rStyle w:val="Hyperlink"/>
              </w:rPr>
              <w:t>1.4.</w:t>
            </w:r>
            <w:r>
              <w:rPr>
                <w:b w:val="0"/>
                <w:bCs w:val="0"/>
                <w:kern w:val="2"/>
                <w:sz w:val="22"/>
                <w:szCs w:val="22"/>
                <w:lang w:val="en-IE" w:eastAsia="en-IE"/>
                <w14:ligatures w14:val="standardContextual"/>
              </w:rPr>
              <w:tab/>
            </w:r>
            <w:r w:rsidRPr="00C072A1">
              <w:rPr>
                <w:rStyle w:val="Hyperlink"/>
              </w:rPr>
              <w:t>Optional and mandatory use of simplified cost options</w:t>
            </w:r>
            <w:r>
              <w:rPr>
                <w:webHidden/>
              </w:rPr>
              <w:tab/>
            </w:r>
            <w:r>
              <w:rPr>
                <w:webHidden/>
              </w:rPr>
              <w:fldChar w:fldCharType="begin"/>
            </w:r>
            <w:r>
              <w:rPr>
                <w:webHidden/>
              </w:rPr>
              <w:instrText xml:space="preserve"> PAGEREF _Toc168350290 \h </w:instrText>
            </w:r>
            <w:r>
              <w:rPr>
                <w:webHidden/>
              </w:rPr>
            </w:r>
            <w:r>
              <w:rPr>
                <w:webHidden/>
              </w:rPr>
              <w:fldChar w:fldCharType="separate"/>
            </w:r>
            <w:r>
              <w:rPr>
                <w:webHidden/>
              </w:rPr>
              <w:t>7</w:t>
            </w:r>
            <w:r>
              <w:rPr>
                <w:webHidden/>
              </w:rPr>
              <w:fldChar w:fldCharType="end"/>
            </w:r>
          </w:hyperlink>
        </w:p>
        <w:p w14:paraId="0613CCD0" w14:textId="6D651670" w:rsidR="00117CF8" w:rsidRDefault="00117CF8">
          <w:pPr>
            <w:pStyle w:val="TOC1"/>
            <w:rPr>
              <w:noProof/>
              <w:kern w:val="2"/>
              <w:sz w:val="22"/>
              <w:szCs w:val="22"/>
              <w:lang w:val="en-IE" w:eastAsia="en-IE"/>
              <w14:ligatures w14:val="standardContextual"/>
            </w:rPr>
          </w:pPr>
          <w:hyperlink w:anchor="_Toc168350291" w:history="1">
            <w:r w:rsidRPr="00C072A1">
              <w:rPr>
                <w:rStyle w:val="Hyperlink"/>
                <w:b/>
                <w:bCs/>
                <w:noProof/>
              </w:rPr>
              <w:t>Chapter 2: Types of simplified cost options</w:t>
            </w:r>
            <w:r>
              <w:rPr>
                <w:noProof/>
                <w:webHidden/>
              </w:rPr>
              <w:tab/>
            </w:r>
            <w:r>
              <w:rPr>
                <w:noProof/>
                <w:webHidden/>
              </w:rPr>
              <w:fldChar w:fldCharType="begin"/>
            </w:r>
            <w:r>
              <w:rPr>
                <w:noProof/>
                <w:webHidden/>
              </w:rPr>
              <w:instrText xml:space="preserve"> PAGEREF _Toc168350291 \h </w:instrText>
            </w:r>
            <w:r>
              <w:rPr>
                <w:noProof/>
                <w:webHidden/>
              </w:rPr>
            </w:r>
            <w:r>
              <w:rPr>
                <w:noProof/>
                <w:webHidden/>
              </w:rPr>
              <w:fldChar w:fldCharType="separate"/>
            </w:r>
            <w:r>
              <w:rPr>
                <w:noProof/>
                <w:webHidden/>
              </w:rPr>
              <w:t>9</w:t>
            </w:r>
            <w:r>
              <w:rPr>
                <w:noProof/>
                <w:webHidden/>
              </w:rPr>
              <w:fldChar w:fldCharType="end"/>
            </w:r>
          </w:hyperlink>
        </w:p>
        <w:p w14:paraId="40A4FD23" w14:textId="594F1852" w:rsidR="00117CF8" w:rsidRDefault="00117CF8">
          <w:pPr>
            <w:pStyle w:val="TOC2"/>
            <w:rPr>
              <w:b w:val="0"/>
              <w:bCs w:val="0"/>
              <w:kern w:val="2"/>
              <w:sz w:val="22"/>
              <w:szCs w:val="22"/>
              <w:lang w:val="en-IE" w:eastAsia="en-IE"/>
              <w14:ligatures w14:val="standardContextual"/>
            </w:rPr>
          </w:pPr>
          <w:hyperlink w:anchor="_Toc168350292" w:history="1">
            <w:r w:rsidRPr="00C072A1">
              <w:rPr>
                <w:rStyle w:val="Hyperlink"/>
              </w:rPr>
              <w:t>2.1.</w:t>
            </w:r>
            <w:r>
              <w:rPr>
                <w:b w:val="0"/>
                <w:bCs w:val="0"/>
                <w:kern w:val="2"/>
                <w:sz w:val="22"/>
                <w:szCs w:val="22"/>
                <w:lang w:val="en-IE" w:eastAsia="en-IE"/>
                <w14:ligatures w14:val="standardContextual"/>
              </w:rPr>
              <w:tab/>
            </w:r>
            <w:r w:rsidRPr="00C072A1">
              <w:rPr>
                <w:rStyle w:val="Hyperlink"/>
              </w:rPr>
              <w:t>Overview of the different types of simplified cost options</w:t>
            </w:r>
            <w:r>
              <w:rPr>
                <w:webHidden/>
              </w:rPr>
              <w:tab/>
            </w:r>
            <w:r>
              <w:rPr>
                <w:webHidden/>
              </w:rPr>
              <w:fldChar w:fldCharType="begin"/>
            </w:r>
            <w:r>
              <w:rPr>
                <w:webHidden/>
              </w:rPr>
              <w:instrText xml:space="preserve"> PAGEREF _Toc168350292 \h </w:instrText>
            </w:r>
            <w:r>
              <w:rPr>
                <w:webHidden/>
              </w:rPr>
            </w:r>
            <w:r>
              <w:rPr>
                <w:webHidden/>
              </w:rPr>
              <w:fldChar w:fldCharType="separate"/>
            </w:r>
            <w:r>
              <w:rPr>
                <w:webHidden/>
              </w:rPr>
              <w:t>9</w:t>
            </w:r>
            <w:r>
              <w:rPr>
                <w:webHidden/>
              </w:rPr>
              <w:fldChar w:fldCharType="end"/>
            </w:r>
          </w:hyperlink>
        </w:p>
        <w:p w14:paraId="148FFCB0" w14:textId="13D6AF11" w:rsidR="00117CF8" w:rsidRDefault="00117CF8">
          <w:pPr>
            <w:pStyle w:val="TOC2"/>
            <w:rPr>
              <w:b w:val="0"/>
              <w:bCs w:val="0"/>
              <w:kern w:val="2"/>
              <w:sz w:val="22"/>
              <w:szCs w:val="22"/>
              <w:lang w:val="en-IE" w:eastAsia="en-IE"/>
              <w14:ligatures w14:val="standardContextual"/>
            </w:rPr>
          </w:pPr>
          <w:hyperlink w:anchor="_Toc168350293" w:history="1">
            <w:r w:rsidRPr="00C072A1">
              <w:rPr>
                <w:rStyle w:val="Hyperlink"/>
              </w:rPr>
              <w:t>2.2.</w:t>
            </w:r>
            <w:r>
              <w:rPr>
                <w:b w:val="0"/>
                <w:bCs w:val="0"/>
                <w:kern w:val="2"/>
                <w:sz w:val="22"/>
                <w:szCs w:val="22"/>
                <w:lang w:val="en-IE" w:eastAsia="en-IE"/>
                <w14:ligatures w14:val="standardContextual"/>
              </w:rPr>
              <w:tab/>
            </w:r>
            <w:r w:rsidRPr="00C072A1">
              <w:rPr>
                <w:rStyle w:val="Hyperlink"/>
              </w:rPr>
              <w:t>Flat rate financing</w:t>
            </w:r>
            <w:r>
              <w:rPr>
                <w:webHidden/>
              </w:rPr>
              <w:tab/>
            </w:r>
            <w:r>
              <w:rPr>
                <w:webHidden/>
              </w:rPr>
              <w:fldChar w:fldCharType="begin"/>
            </w:r>
            <w:r>
              <w:rPr>
                <w:webHidden/>
              </w:rPr>
              <w:instrText xml:space="preserve"> PAGEREF _Toc168350293 \h </w:instrText>
            </w:r>
            <w:r>
              <w:rPr>
                <w:webHidden/>
              </w:rPr>
            </w:r>
            <w:r>
              <w:rPr>
                <w:webHidden/>
              </w:rPr>
              <w:fldChar w:fldCharType="separate"/>
            </w:r>
            <w:r>
              <w:rPr>
                <w:webHidden/>
              </w:rPr>
              <w:t>9</w:t>
            </w:r>
            <w:r>
              <w:rPr>
                <w:webHidden/>
              </w:rPr>
              <w:fldChar w:fldCharType="end"/>
            </w:r>
          </w:hyperlink>
        </w:p>
        <w:p w14:paraId="72DD9EA9" w14:textId="07400ADF" w:rsidR="00117CF8" w:rsidRDefault="00117CF8">
          <w:pPr>
            <w:pStyle w:val="TOC3"/>
            <w:rPr>
              <w:noProof/>
              <w:kern w:val="2"/>
              <w:sz w:val="22"/>
              <w:szCs w:val="22"/>
              <w:lang w:val="en-IE" w:eastAsia="en-IE"/>
              <w14:ligatures w14:val="standardContextual"/>
            </w:rPr>
          </w:pPr>
          <w:hyperlink w:anchor="_Toc168350294" w:history="1">
            <w:r w:rsidRPr="00C072A1">
              <w:rPr>
                <w:rStyle w:val="Hyperlink"/>
                <w:noProof/>
              </w:rPr>
              <w:t xml:space="preserve">2.2.1. </w:t>
            </w:r>
            <w:r>
              <w:rPr>
                <w:noProof/>
                <w:kern w:val="2"/>
                <w:sz w:val="22"/>
                <w:szCs w:val="22"/>
                <w:lang w:val="en-IE" w:eastAsia="en-IE"/>
                <w14:ligatures w14:val="standardContextual"/>
              </w:rPr>
              <w:tab/>
            </w:r>
            <w:r w:rsidRPr="00C072A1">
              <w:rPr>
                <w:rStyle w:val="Hyperlink"/>
                <w:noProof/>
              </w:rPr>
              <w:t>General principles</w:t>
            </w:r>
            <w:r>
              <w:rPr>
                <w:noProof/>
                <w:webHidden/>
              </w:rPr>
              <w:tab/>
            </w:r>
            <w:r>
              <w:rPr>
                <w:noProof/>
                <w:webHidden/>
              </w:rPr>
              <w:fldChar w:fldCharType="begin"/>
            </w:r>
            <w:r>
              <w:rPr>
                <w:noProof/>
                <w:webHidden/>
              </w:rPr>
              <w:instrText xml:space="preserve"> PAGEREF _Toc168350294 \h </w:instrText>
            </w:r>
            <w:r>
              <w:rPr>
                <w:noProof/>
                <w:webHidden/>
              </w:rPr>
            </w:r>
            <w:r>
              <w:rPr>
                <w:noProof/>
                <w:webHidden/>
              </w:rPr>
              <w:fldChar w:fldCharType="separate"/>
            </w:r>
            <w:r>
              <w:rPr>
                <w:noProof/>
                <w:webHidden/>
              </w:rPr>
              <w:t>9</w:t>
            </w:r>
            <w:r>
              <w:rPr>
                <w:noProof/>
                <w:webHidden/>
              </w:rPr>
              <w:fldChar w:fldCharType="end"/>
            </w:r>
          </w:hyperlink>
        </w:p>
        <w:p w14:paraId="3B1CB879" w14:textId="5B7B8846" w:rsidR="00117CF8" w:rsidRDefault="00117CF8">
          <w:pPr>
            <w:pStyle w:val="TOC3"/>
            <w:rPr>
              <w:noProof/>
              <w:kern w:val="2"/>
              <w:sz w:val="22"/>
              <w:szCs w:val="22"/>
              <w:lang w:val="en-IE" w:eastAsia="en-IE"/>
              <w14:ligatures w14:val="standardContextual"/>
            </w:rPr>
          </w:pPr>
          <w:hyperlink w:anchor="_Toc168350295" w:history="1">
            <w:r w:rsidRPr="00C072A1">
              <w:rPr>
                <w:rStyle w:val="Hyperlink"/>
                <w:noProof/>
              </w:rPr>
              <w:t xml:space="preserve">2.2.2. </w:t>
            </w:r>
            <w:r>
              <w:rPr>
                <w:noProof/>
                <w:kern w:val="2"/>
                <w:sz w:val="22"/>
                <w:szCs w:val="22"/>
                <w:lang w:val="en-IE" w:eastAsia="en-IE"/>
                <w14:ligatures w14:val="standardContextual"/>
              </w:rPr>
              <w:tab/>
            </w:r>
            <w:r w:rsidRPr="00C072A1">
              <w:rPr>
                <w:rStyle w:val="Hyperlink"/>
                <w:noProof/>
              </w:rPr>
              <w:t>Flat rates for determining indirect costs (Article 54 CPR)</w:t>
            </w:r>
            <w:r>
              <w:rPr>
                <w:noProof/>
                <w:webHidden/>
              </w:rPr>
              <w:tab/>
            </w:r>
            <w:r>
              <w:rPr>
                <w:noProof/>
                <w:webHidden/>
              </w:rPr>
              <w:fldChar w:fldCharType="begin"/>
            </w:r>
            <w:r>
              <w:rPr>
                <w:noProof/>
                <w:webHidden/>
              </w:rPr>
              <w:instrText xml:space="preserve"> PAGEREF _Toc168350295 \h </w:instrText>
            </w:r>
            <w:r>
              <w:rPr>
                <w:noProof/>
                <w:webHidden/>
              </w:rPr>
            </w:r>
            <w:r>
              <w:rPr>
                <w:noProof/>
                <w:webHidden/>
              </w:rPr>
              <w:fldChar w:fldCharType="separate"/>
            </w:r>
            <w:r>
              <w:rPr>
                <w:noProof/>
                <w:webHidden/>
              </w:rPr>
              <w:t>12</w:t>
            </w:r>
            <w:r>
              <w:rPr>
                <w:noProof/>
                <w:webHidden/>
              </w:rPr>
              <w:fldChar w:fldCharType="end"/>
            </w:r>
          </w:hyperlink>
        </w:p>
        <w:p w14:paraId="57DDD631" w14:textId="044E9742" w:rsidR="00117CF8" w:rsidRDefault="00117CF8">
          <w:pPr>
            <w:pStyle w:val="TOC3"/>
            <w:rPr>
              <w:noProof/>
              <w:kern w:val="2"/>
              <w:sz w:val="22"/>
              <w:szCs w:val="22"/>
              <w:lang w:val="en-IE" w:eastAsia="en-IE"/>
              <w14:ligatures w14:val="standardContextual"/>
            </w:rPr>
          </w:pPr>
          <w:hyperlink w:anchor="_Toc168350296" w:history="1">
            <w:r w:rsidRPr="00C072A1">
              <w:rPr>
                <w:rStyle w:val="Hyperlink"/>
                <w:noProof/>
              </w:rPr>
              <w:t xml:space="preserve">2.2.3. </w:t>
            </w:r>
            <w:r>
              <w:rPr>
                <w:noProof/>
                <w:kern w:val="2"/>
                <w:sz w:val="22"/>
                <w:szCs w:val="22"/>
                <w:lang w:val="en-IE" w:eastAsia="en-IE"/>
                <w14:ligatures w14:val="standardContextual"/>
              </w:rPr>
              <w:tab/>
            </w:r>
            <w:r w:rsidRPr="00C072A1">
              <w:rPr>
                <w:rStyle w:val="Hyperlink"/>
                <w:noProof/>
              </w:rPr>
              <w:t>Flat rate for determining direct staff costs (Article 55(1) CPR)</w:t>
            </w:r>
            <w:r>
              <w:rPr>
                <w:noProof/>
                <w:webHidden/>
              </w:rPr>
              <w:tab/>
            </w:r>
            <w:r>
              <w:rPr>
                <w:noProof/>
                <w:webHidden/>
              </w:rPr>
              <w:fldChar w:fldCharType="begin"/>
            </w:r>
            <w:r>
              <w:rPr>
                <w:noProof/>
                <w:webHidden/>
              </w:rPr>
              <w:instrText xml:space="preserve"> PAGEREF _Toc168350296 \h </w:instrText>
            </w:r>
            <w:r>
              <w:rPr>
                <w:noProof/>
                <w:webHidden/>
              </w:rPr>
            </w:r>
            <w:r>
              <w:rPr>
                <w:noProof/>
                <w:webHidden/>
              </w:rPr>
              <w:fldChar w:fldCharType="separate"/>
            </w:r>
            <w:r>
              <w:rPr>
                <w:noProof/>
                <w:webHidden/>
              </w:rPr>
              <w:t>13</w:t>
            </w:r>
            <w:r>
              <w:rPr>
                <w:noProof/>
                <w:webHidden/>
              </w:rPr>
              <w:fldChar w:fldCharType="end"/>
            </w:r>
          </w:hyperlink>
        </w:p>
        <w:p w14:paraId="746F06A4" w14:textId="5EB08DEC" w:rsidR="00117CF8" w:rsidRDefault="00117CF8">
          <w:pPr>
            <w:pStyle w:val="TOC3"/>
            <w:rPr>
              <w:noProof/>
              <w:kern w:val="2"/>
              <w:sz w:val="22"/>
              <w:szCs w:val="22"/>
              <w:lang w:val="en-IE" w:eastAsia="en-IE"/>
              <w14:ligatures w14:val="standardContextual"/>
            </w:rPr>
          </w:pPr>
          <w:hyperlink w:anchor="_Toc168350297" w:history="1">
            <w:r w:rsidRPr="00C072A1">
              <w:rPr>
                <w:rStyle w:val="Hyperlink"/>
                <w:noProof/>
              </w:rPr>
              <w:t xml:space="preserve">2.2.4. </w:t>
            </w:r>
            <w:r>
              <w:rPr>
                <w:noProof/>
                <w:kern w:val="2"/>
                <w:sz w:val="22"/>
                <w:szCs w:val="22"/>
                <w:lang w:val="en-IE" w:eastAsia="en-IE"/>
                <w14:ligatures w14:val="standardContextual"/>
              </w:rPr>
              <w:tab/>
            </w:r>
            <w:r w:rsidRPr="00C072A1">
              <w:rPr>
                <w:rStyle w:val="Hyperlink"/>
                <w:noProof/>
              </w:rPr>
              <w:t>Flat rate for determining all other costs of the operation other than direct staff costs (Article 56 CPR)</w:t>
            </w:r>
            <w:r>
              <w:rPr>
                <w:noProof/>
                <w:webHidden/>
              </w:rPr>
              <w:tab/>
            </w:r>
            <w:r>
              <w:rPr>
                <w:noProof/>
                <w:webHidden/>
              </w:rPr>
              <w:fldChar w:fldCharType="begin"/>
            </w:r>
            <w:r>
              <w:rPr>
                <w:noProof/>
                <w:webHidden/>
              </w:rPr>
              <w:instrText xml:space="preserve"> PAGEREF _Toc168350297 \h </w:instrText>
            </w:r>
            <w:r>
              <w:rPr>
                <w:noProof/>
                <w:webHidden/>
              </w:rPr>
            </w:r>
            <w:r>
              <w:rPr>
                <w:noProof/>
                <w:webHidden/>
              </w:rPr>
              <w:fldChar w:fldCharType="separate"/>
            </w:r>
            <w:r>
              <w:rPr>
                <w:noProof/>
                <w:webHidden/>
              </w:rPr>
              <w:t>13</w:t>
            </w:r>
            <w:r>
              <w:rPr>
                <w:noProof/>
                <w:webHidden/>
              </w:rPr>
              <w:fldChar w:fldCharType="end"/>
            </w:r>
          </w:hyperlink>
        </w:p>
        <w:p w14:paraId="625EB08C" w14:textId="42A4DA1B" w:rsidR="00117CF8" w:rsidRDefault="00117CF8">
          <w:pPr>
            <w:pStyle w:val="TOC3"/>
            <w:rPr>
              <w:noProof/>
              <w:kern w:val="2"/>
              <w:sz w:val="22"/>
              <w:szCs w:val="22"/>
              <w:lang w:val="en-IE" w:eastAsia="en-IE"/>
              <w14:ligatures w14:val="standardContextual"/>
            </w:rPr>
          </w:pPr>
          <w:hyperlink w:anchor="_Toc168350298" w:history="1">
            <w:r w:rsidRPr="00C072A1">
              <w:rPr>
                <w:rStyle w:val="Hyperlink"/>
                <w:noProof/>
              </w:rPr>
              <w:t xml:space="preserve">2.2.5. </w:t>
            </w:r>
            <w:r>
              <w:rPr>
                <w:noProof/>
                <w:kern w:val="2"/>
                <w:sz w:val="22"/>
                <w:szCs w:val="22"/>
                <w:lang w:val="en-IE" w:eastAsia="en-IE"/>
                <w14:ligatures w14:val="standardContextual"/>
              </w:rPr>
              <w:tab/>
            </w:r>
            <w:r w:rsidRPr="00C072A1">
              <w:rPr>
                <w:rStyle w:val="Hyperlink"/>
                <w:noProof/>
              </w:rPr>
              <w:t>Flat rate for travel and accommodation costs (Article 41(5) Interreg)</w:t>
            </w:r>
            <w:r>
              <w:rPr>
                <w:noProof/>
                <w:webHidden/>
              </w:rPr>
              <w:tab/>
            </w:r>
            <w:r>
              <w:rPr>
                <w:noProof/>
                <w:webHidden/>
              </w:rPr>
              <w:fldChar w:fldCharType="begin"/>
            </w:r>
            <w:r>
              <w:rPr>
                <w:noProof/>
                <w:webHidden/>
              </w:rPr>
              <w:instrText xml:space="preserve"> PAGEREF _Toc168350298 \h </w:instrText>
            </w:r>
            <w:r>
              <w:rPr>
                <w:noProof/>
                <w:webHidden/>
              </w:rPr>
            </w:r>
            <w:r>
              <w:rPr>
                <w:noProof/>
                <w:webHidden/>
              </w:rPr>
              <w:fldChar w:fldCharType="separate"/>
            </w:r>
            <w:r>
              <w:rPr>
                <w:noProof/>
                <w:webHidden/>
              </w:rPr>
              <w:t>15</w:t>
            </w:r>
            <w:r>
              <w:rPr>
                <w:noProof/>
                <w:webHidden/>
              </w:rPr>
              <w:fldChar w:fldCharType="end"/>
            </w:r>
          </w:hyperlink>
        </w:p>
        <w:p w14:paraId="65A7C525" w14:textId="33505D24" w:rsidR="00117CF8" w:rsidRDefault="00117CF8">
          <w:pPr>
            <w:pStyle w:val="TOC3"/>
            <w:rPr>
              <w:noProof/>
              <w:kern w:val="2"/>
              <w:sz w:val="22"/>
              <w:szCs w:val="22"/>
              <w:lang w:val="en-IE" w:eastAsia="en-IE"/>
              <w14:ligatures w14:val="standardContextual"/>
            </w:rPr>
          </w:pPr>
          <w:hyperlink w:anchor="_Toc168350299" w:history="1">
            <w:r w:rsidRPr="00C072A1">
              <w:rPr>
                <w:rStyle w:val="Hyperlink"/>
                <w:noProof/>
              </w:rPr>
              <w:t xml:space="preserve">2.2.6. </w:t>
            </w:r>
            <w:r>
              <w:rPr>
                <w:noProof/>
                <w:kern w:val="2"/>
                <w:sz w:val="22"/>
                <w:szCs w:val="22"/>
                <w:lang w:val="en-IE" w:eastAsia="en-IE"/>
                <w14:ligatures w14:val="standardContextual"/>
              </w:rPr>
              <w:tab/>
            </w:r>
            <w:r w:rsidRPr="00C072A1">
              <w:rPr>
                <w:rStyle w:val="Hyperlink"/>
                <w:noProof/>
              </w:rPr>
              <w:t>The specific case of flat rates for technical assistance (Article 36(5) CPR)</w:t>
            </w:r>
            <w:r>
              <w:rPr>
                <w:noProof/>
                <w:webHidden/>
              </w:rPr>
              <w:tab/>
            </w:r>
            <w:r>
              <w:rPr>
                <w:noProof/>
                <w:webHidden/>
              </w:rPr>
              <w:fldChar w:fldCharType="begin"/>
            </w:r>
            <w:r>
              <w:rPr>
                <w:noProof/>
                <w:webHidden/>
              </w:rPr>
              <w:instrText xml:space="preserve"> PAGEREF _Toc168350299 \h </w:instrText>
            </w:r>
            <w:r>
              <w:rPr>
                <w:noProof/>
                <w:webHidden/>
              </w:rPr>
            </w:r>
            <w:r>
              <w:rPr>
                <w:noProof/>
                <w:webHidden/>
              </w:rPr>
              <w:fldChar w:fldCharType="separate"/>
            </w:r>
            <w:r>
              <w:rPr>
                <w:noProof/>
                <w:webHidden/>
              </w:rPr>
              <w:t>15</w:t>
            </w:r>
            <w:r>
              <w:rPr>
                <w:noProof/>
                <w:webHidden/>
              </w:rPr>
              <w:fldChar w:fldCharType="end"/>
            </w:r>
          </w:hyperlink>
        </w:p>
        <w:p w14:paraId="704317EC" w14:textId="4BA02B04" w:rsidR="00117CF8" w:rsidRDefault="00117CF8">
          <w:pPr>
            <w:pStyle w:val="TOC3"/>
            <w:rPr>
              <w:noProof/>
              <w:kern w:val="2"/>
              <w:sz w:val="22"/>
              <w:szCs w:val="22"/>
              <w:lang w:val="en-IE" w:eastAsia="en-IE"/>
              <w14:ligatures w14:val="standardContextual"/>
            </w:rPr>
          </w:pPr>
          <w:hyperlink w:anchor="_Toc168350300" w:history="1">
            <w:r w:rsidRPr="00C072A1">
              <w:rPr>
                <w:rStyle w:val="Hyperlink"/>
                <w:noProof/>
              </w:rPr>
              <w:t xml:space="preserve">2.2.7. </w:t>
            </w:r>
            <w:r>
              <w:rPr>
                <w:noProof/>
                <w:kern w:val="2"/>
                <w:sz w:val="22"/>
                <w:szCs w:val="22"/>
                <w:lang w:val="en-IE" w:eastAsia="en-IE"/>
                <w14:ligatures w14:val="standardContextual"/>
              </w:rPr>
              <w:tab/>
            </w:r>
            <w:r w:rsidRPr="00C072A1">
              <w:rPr>
                <w:rStyle w:val="Hyperlink"/>
                <w:noProof/>
              </w:rPr>
              <w:t>Specificities of support for community-led local development</w:t>
            </w:r>
            <w:r>
              <w:rPr>
                <w:noProof/>
                <w:webHidden/>
              </w:rPr>
              <w:tab/>
            </w:r>
            <w:r>
              <w:rPr>
                <w:noProof/>
                <w:webHidden/>
              </w:rPr>
              <w:fldChar w:fldCharType="begin"/>
            </w:r>
            <w:r>
              <w:rPr>
                <w:noProof/>
                <w:webHidden/>
              </w:rPr>
              <w:instrText xml:space="preserve"> PAGEREF _Toc168350300 \h </w:instrText>
            </w:r>
            <w:r>
              <w:rPr>
                <w:noProof/>
                <w:webHidden/>
              </w:rPr>
            </w:r>
            <w:r>
              <w:rPr>
                <w:noProof/>
                <w:webHidden/>
              </w:rPr>
              <w:fldChar w:fldCharType="separate"/>
            </w:r>
            <w:r>
              <w:rPr>
                <w:noProof/>
                <w:webHidden/>
              </w:rPr>
              <w:t>16</w:t>
            </w:r>
            <w:r>
              <w:rPr>
                <w:noProof/>
                <w:webHidden/>
              </w:rPr>
              <w:fldChar w:fldCharType="end"/>
            </w:r>
          </w:hyperlink>
        </w:p>
        <w:p w14:paraId="58F99FC2" w14:textId="3D5709EB" w:rsidR="00117CF8" w:rsidRDefault="00117CF8">
          <w:pPr>
            <w:pStyle w:val="TOC2"/>
            <w:rPr>
              <w:b w:val="0"/>
              <w:bCs w:val="0"/>
              <w:kern w:val="2"/>
              <w:sz w:val="22"/>
              <w:szCs w:val="22"/>
              <w:lang w:val="en-IE" w:eastAsia="en-IE"/>
              <w14:ligatures w14:val="standardContextual"/>
            </w:rPr>
          </w:pPr>
          <w:hyperlink w:anchor="_Toc168350301" w:history="1">
            <w:r w:rsidRPr="00C072A1">
              <w:rPr>
                <w:rStyle w:val="Hyperlink"/>
              </w:rPr>
              <w:t>2.3.</w:t>
            </w:r>
            <w:r>
              <w:rPr>
                <w:b w:val="0"/>
                <w:bCs w:val="0"/>
                <w:kern w:val="2"/>
                <w:sz w:val="22"/>
                <w:szCs w:val="22"/>
                <w:lang w:val="en-IE" w:eastAsia="en-IE"/>
                <w14:ligatures w14:val="standardContextual"/>
              </w:rPr>
              <w:tab/>
            </w:r>
            <w:r w:rsidRPr="00C072A1">
              <w:rPr>
                <w:rStyle w:val="Hyperlink"/>
              </w:rPr>
              <w:t>Standard scales of unit costs</w:t>
            </w:r>
            <w:r>
              <w:rPr>
                <w:webHidden/>
              </w:rPr>
              <w:tab/>
            </w:r>
            <w:r>
              <w:rPr>
                <w:webHidden/>
              </w:rPr>
              <w:fldChar w:fldCharType="begin"/>
            </w:r>
            <w:r>
              <w:rPr>
                <w:webHidden/>
              </w:rPr>
              <w:instrText xml:space="preserve"> PAGEREF _Toc168350301 \h </w:instrText>
            </w:r>
            <w:r>
              <w:rPr>
                <w:webHidden/>
              </w:rPr>
            </w:r>
            <w:r>
              <w:rPr>
                <w:webHidden/>
              </w:rPr>
              <w:fldChar w:fldCharType="separate"/>
            </w:r>
            <w:r>
              <w:rPr>
                <w:webHidden/>
              </w:rPr>
              <w:t>17</w:t>
            </w:r>
            <w:r>
              <w:rPr>
                <w:webHidden/>
              </w:rPr>
              <w:fldChar w:fldCharType="end"/>
            </w:r>
          </w:hyperlink>
        </w:p>
        <w:p w14:paraId="7B72CC62" w14:textId="686BC401" w:rsidR="00117CF8" w:rsidRDefault="00117CF8">
          <w:pPr>
            <w:pStyle w:val="TOC3"/>
            <w:rPr>
              <w:noProof/>
              <w:kern w:val="2"/>
              <w:sz w:val="22"/>
              <w:szCs w:val="22"/>
              <w:lang w:val="en-IE" w:eastAsia="en-IE"/>
              <w14:ligatures w14:val="standardContextual"/>
            </w:rPr>
          </w:pPr>
          <w:hyperlink w:anchor="_Toc168350302" w:history="1">
            <w:r w:rsidRPr="00C072A1">
              <w:rPr>
                <w:rStyle w:val="Hyperlink"/>
                <w:noProof/>
              </w:rPr>
              <w:t>2.3.1.</w:t>
            </w:r>
            <w:r>
              <w:rPr>
                <w:noProof/>
                <w:kern w:val="2"/>
                <w:sz w:val="22"/>
                <w:szCs w:val="22"/>
                <w:lang w:val="en-IE" w:eastAsia="en-IE"/>
                <w14:ligatures w14:val="standardContextual"/>
              </w:rPr>
              <w:tab/>
            </w:r>
            <w:r w:rsidRPr="00C072A1">
              <w:rPr>
                <w:rStyle w:val="Hyperlink"/>
                <w:noProof/>
              </w:rPr>
              <w:t>General principles</w:t>
            </w:r>
            <w:r>
              <w:rPr>
                <w:noProof/>
                <w:webHidden/>
              </w:rPr>
              <w:tab/>
            </w:r>
            <w:r>
              <w:rPr>
                <w:noProof/>
                <w:webHidden/>
              </w:rPr>
              <w:fldChar w:fldCharType="begin"/>
            </w:r>
            <w:r>
              <w:rPr>
                <w:noProof/>
                <w:webHidden/>
              </w:rPr>
              <w:instrText xml:space="preserve"> PAGEREF _Toc168350302 \h </w:instrText>
            </w:r>
            <w:r>
              <w:rPr>
                <w:noProof/>
                <w:webHidden/>
              </w:rPr>
            </w:r>
            <w:r>
              <w:rPr>
                <w:noProof/>
                <w:webHidden/>
              </w:rPr>
              <w:fldChar w:fldCharType="separate"/>
            </w:r>
            <w:r>
              <w:rPr>
                <w:noProof/>
                <w:webHidden/>
              </w:rPr>
              <w:t>17</w:t>
            </w:r>
            <w:r>
              <w:rPr>
                <w:noProof/>
                <w:webHidden/>
              </w:rPr>
              <w:fldChar w:fldCharType="end"/>
            </w:r>
          </w:hyperlink>
        </w:p>
        <w:p w14:paraId="7E17D5EA" w14:textId="0E06E457" w:rsidR="00117CF8" w:rsidRDefault="00117CF8">
          <w:pPr>
            <w:pStyle w:val="TOC3"/>
            <w:rPr>
              <w:noProof/>
              <w:kern w:val="2"/>
              <w:sz w:val="22"/>
              <w:szCs w:val="22"/>
              <w:lang w:val="en-IE" w:eastAsia="en-IE"/>
              <w14:ligatures w14:val="standardContextual"/>
            </w:rPr>
          </w:pPr>
          <w:hyperlink w:anchor="_Toc168350303" w:history="1">
            <w:r w:rsidRPr="00C072A1">
              <w:rPr>
                <w:rStyle w:val="Hyperlink"/>
                <w:noProof/>
              </w:rPr>
              <w:t>2.3.2.</w:t>
            </w:r>
            <w:r>
              <w:rPr>
                <w:noProof/>
                <w:kern w:val="2"/>
                <w:sz w:val="22"/>
                <w:szCs w:val="22"/>
                <w:lang w:val="en-IE" w:eastAsia="en-IE"/>
                <w14:ligatures w14:val="standardContextual"/>
              </w:rPr>
              <w:tab/>
            </w:r>
            <w:r w:rsidRPr="00C072A1">
              <w:rPr>
                <w:rStyle w:val="Hyperlink"/>
                <w:noProof/>
              </w:rPr>
              <w:t>Staff costs calculated at an hourly rate (Article 55(2) to (4) CPR)</w:t>
            </w:r>
            <w:r>
              <w:rPr>
                <w:noProof/>
                <w:webHidden/>
              </w:rPr>
              <w:tab/>
            </w:r>
            <w:r>
              <w:rPr>
                <w:noProof/>
                <w:webHidden/>
              </w:rPr>
              <w:fldChar w:fldCharType="begin"/>
            </w:r>
            <w:r>
              <w:rPr>
                <w:noProof/>
                <w:webHidden/>
              </w:rPr>
              <w:instrText xml:space="preserve"> PAGEREF _Toc168350303 \h </w:instrText>
            </w:r>
            <w:r>
              <w:rPr>
                <w:noProof/>
                <w:webHidden/>
              </w:rPr>
            </w:r>
            <w:r>
              <w:rPr>
                <w:noProof/>
                <w:webHidden/>
              </w:rPr>
              <w:fldChar w:fldCharType="separate"/>
            </w:r>
            <w:r>
              <w:rPr>
                <w:noProof/>
                <w:webHidden/>
              </w:rPr>
              <w:t>19</w:t>
            </w:r>
            <w:r>
              <w:rPr>
                <w:noProof/>
                <w:webHidden/>
              </w:rPr>
              <w:fldChar w:fldCharType="end"/>
            </w:r>
          </w:hyperlink>
        </w:p>
        <w:p w14:paraId="73767E32" w14:textId="7E561B70" w:rsidR="00117CF8" w:rsidRDefault="00117CF8">
          <w:pPr>
            <w:pStyle w:val="TOC2"/>
            <w:rPr>
              <w:b w:val="0"/>
              <w:bCs w:val="0"/>
              <w:kern w:val="2"/>
              <w:sz w:val="22"/>
              <w:szCs w:val="22"/>
              <w:lang w:val="en-IE" w:eastAsia="en-IE"/>
              <w14:ligatures w14:val="standardContextual"/>
            </w:rPr>
          </w:pPr>
          <w:hyperlink w:anchor="_Toc168350304" w:history="1">
            <w:r w:rsidRPr="00C072A1">
              <w:rPr>
                <w:rStyle w:val="Hyperlink"/>
              </w:rPr>
              <w:t>2.4.</w:t>
            </w:r>
            <w:r>
              <w:rPr>
                <w:b w:val="0"/>
                <w:bCs w:val="0"/>
                <w:kern w:val="2"/>
                <w:sz w:val="22"/>
                <w:szCs w:val="22"/>
                <w:lang w:val="en-IE" w:eastAsia="en-IE"/>
                <w14:ligatures w14:val="standardContextual"/>
              </w:rPr>
              <w:tab/>
            </w:r>
            <w:r w:rsidRPr="00C072A1">
              <w:rPr>
                <w:rStyle w:val="Hyperlink"/>
              </w:rPr>
              <w:t>Lump sums</w:t>
            </w:r>
            <w:r>
              <w:rPr>
                <w:webHidden/>
              </w:rPr>
              <w:tab/>
            </w:r>
            <w:r>
              <w:rPr>
                <w:webHidden/>
              </w:rPr>
              <w:fldChar w:fldCharType="begin"/>
            </w:r>
            <w:r>
              <w:rPr>
                <w:webHidden/>
              </w:rPr>
              <w:instrText xml:space="preserve"> PAGEREF _Toc168350304 \h </w:instrText>
            </w:r>
            <w:r>
              <w:rPr>
                <w:webHidden/>
              </w:rPr>
            </w:r>
            <w:r>
              <w:rPr>
                <w:webHidden/>
              </w:rPr>
              <w:fldChar w:fldCharType="separate"/>
            </w:r>
            <w:r>
              <w:rPr>
                <w:webHidden/>
              </w:rPr>
              <w:t>22</w:t>
            </w:r>
            <w:r>
              <w:rPr>
                <w:webHidden/>
              </w:rPr>
              <w:fldChar w:fldCharType="end"/>
            </w:r>
          </w:hyperlink>
        </w:p>
        <w:p w14:paraId="23D43EAD" w14:textId="1D366DE1" w:rsidR="00117CF8" w:rsidRDefault="00117CF8">
          <w:pPr>
            <w:pStyle w:val="TOC3"/>
            <w:rPr>
              <w:noProof/>
              <w:kern w:val="2"/>
              <w:sz w:val="22"/>
              <w:szCs w:val="22"/>
              <w:lang w:val="en-IE" w:eastAsia="en-IE"/>
              <w14:ligatures w14:val="standardContextual"/>
            </w:rPr>
          </w:pPr>
          <w:hyperlink w:anchor="_Toc168350305" w:history="1">
            <w:r w:rsidRPr="00C072A1">
              <w:rPr>
                <w:rStyle w:val="Hyperlink"/>
                <w:noProof/>
              </w:rPr>
              <w:t xml:space="preserve">2.4.1. </w:t>
            </w:r>
            <w:r>
              <w:rPr>
                <w:noProof/>
                <w:kern w:val="2"/>
                <w:sz w:val="22"/>
                <w:szCs w:val="22"/>
                <w:lang w:val="en-IE" w:eastAsia="en-IE"/>
                <w14:ligatures w14:val="standardContextual"/>
              </w:rPr>
              <w:tab/>
            </w:r>
            <w:r w:rsidRPr="00C072A1">
              <w:rPr>
                <w:rStyle w:val="Hyperlink"/>
                <w:noProof/>
              </w:rPr>
              <w:t>General principles</w:t>
            </w:r>
            <w:r>
              <w:rPr>
                <w:noProof/>
                <w:webHidden/>
              </w:rPr>
              <w:tab/>
            </w:r>
            <w:r>
              <w:rPr>
                <w:noProof/>
                <w:webHidden/>
              </w:rPr>
              <w:fldChar w:fldCharType="begin"/>
            </w:r>
            <w:r>
              <w:rPr>
                <w:noProof/>
                <w:webHidden/>
              </w:rPr>
              <w:instrText xml:space="preserve"> PAGEREF _Toc168350305 \h </w:instrText>
            </w:r>
            <w:r>
              <w:rPr>
                <w:noProof/>
                <w:webHidden/>
              </w:rPr>
            </w:r>
            <w:r>
              <w:rPr>
                <w:noProof/>
                <w:webHidden/>
              </w:rPr>
              <w:fldChar w:fldCharType="separate"/>
            </w:r>
            <w:r>
              <w:rPr>
                <w:noProof/>
                <w:webHidden/>
              </w:rPr>
              <w:t>22</w:t>
            </w:r>
            <w:r>
              <w:rPr>
                <w:noProof/>
                <w:webHidden/>
              </w:rPr>
              <w:fldChar w:fldCharType="end"/>
            </w:r>
          </w:hyperlink>
        </w:p>
        <w:p w14:paraId="207525BA" w14:textId="7D5709A7" w:rsidR="00117CF8" w:rsidRDefault="00117CF8">
          <w:pPr>
            <w:pStyle w:val="TOC2"/>
            <w:rPr>
              <w:b w:val="0"/>
              <w:bCs w:val="0"/>
              <w:kern w:val="2"/>
              <w:sz w:val="22"/>
              <w:szCs w:val="22"/>
              <w:lang w:val="en-IE" w:eastAsia="en-IE"/>
              <w14:ligatures w14:val="standardContextual"/>
            </w:rPr>
          </w:pPr>
          <w:hyperlink w:anchor="_Toc168350306" w:history="1">
            <w:r w:rsidRPr="00C072A1">
              <w:rPr>
                <w:rStyle w:val="Hyperlink"/>
              </w:rPr>
              <w:t>2.5.</w:t>
            </w:r>
            <w:r>
              <w:rPr>
                <w:b w:val="0"/>
                <w:bCs w:val="0"/>
                <w:kern w:val="2"/>
                <w:sz w:val="22"/>
                <w:szCs w:val="22"/>
                <w:lang w:val="en-IE" w:eastAsia="en-IE"/>
                <w14:ligatures w14:val="standardContextual"/>
              </w:rPr>
              <w:tab/>
            </w:r>
            <w:r w:rsidRPr="00C072A1">
              <w:rPr>
                <w:rStyle w:val="Hyperlink"/>
              </w:rPr>
              <w:t>Combination of simplified cost options</w:t>
            </w:r>
            <w:r>
              <w:rPr>
                <w:webHidden/>
              </w:rPr>
              <w:tab/>
            </w:r>
            <w:r>
              <w:rPr>
                <w:webHidden/>
              </w:rPr>
              <w:fldChar w:fldCharType="begin"/>
            </w:r>
            <w:r>
              <w:rPr>
                <w:webHidden/>
              </w:rPr>
              <w:instrText xml:space="preserve"> PAGEREF _Toc168350306 \h </w:instrText>
            </w:r>
            <w:r>
              <w:rPr>
                <w:webHidden/>
              </w:rPr>
            </w:r>
            <w:r>
              <w:rPr>
                <w:webHidden/>
              </w:rPr>
              <w:fldChar w:fldCharType="separate"/>
            </w:r>
            <w:r>
              <w:rPr>
                <w:webHidden/>
              </w:rPr>
              <w:t>24</w:t>
            </w:r>
            <w:r>
              <w:rPr>
                <w:webHidden/>
              </w:rPr>
              <w:fldChar w:fldCharType="end"/>
            </w:r>
          </w:hyperlink>
        </w:p>
        <w:p w14:paraId="493510DC" w14:textId="7AB4799D" w:rsidR="00117CF8" w:rsidRDefault="00117CF8">
          <w:pPr>
            <w:pStyle w:val="TOC1"/>
            <w:rPr>
              <w:noProof/>
              <w:kern w:val="2"/>
              <w:sz w:val="22"/>
              <w:szCs w:val="22"/>
              <w:lang w:val="en-IE" w:eastAsia="en-IE"/>
              <w14:ligatures w14:val="standardContextual"/>
            </w:rPr>
          </w:pPr>
          <w:hyperlink w:anchor="_Toc168350307" w:history="1">
            <w:r w:rsidRPr="00C072A1">
              <w:rPr>
                <w:rStyle w:val="Hyperlink"/>
                <w:b/>
                <w:bCs/>
                <w:noProof/>
              </w:rPr>
              <w:t>Chapter 3: Setting up simplified cost options</w:t>
            </w:r>
            <w:r>
              <w:rPr>
                <w:noProof/>
                <w:webHidden/>
              </w:rPr>
              <w:tab/>
            </w:r>
            <w:r>
              <w:rPr>
                <w:noProof/>
                <w:webHidden/>
              </w:rPr>
              <w:fldChar w:fldCharType="begin"/>
            </w:r>
            <w:r>
              <w:rPr>
                <w:noProof/>
                <w:webHidden/>
              </w:rPr>
              <w:instrText xml:space="preserve"> PAGEREF _Toc168350307 \h </w:instrText>
            </w:r>
            <w:r>
              <w:rPr>
                <w:noProof/>
                <w:webHidden/>
              </w:rPr>
            </w:r>
            <w:r>
              <w:rPr>
                <w:noProof/>
                <w:webHidden/>
              </w:rPr>
              <w:fldChar w:fldCharType="separate"/>
            </w:r>
            <w:r>
              <w:rPr>
                <w:noProof/>
                <w:webHidden/>
              </w:rPr>
              <w:t>27</w:t>
            </w:r>
            <w:r>
              <w:rPr>
                <w:noProof/>
                <w:webHidden/>
              </w:rPr>
              <w:fldChar w:fldCharType="end"/>
            </w:r>
          </w:hyperlink>
        </w:p>
        <w:p w14:paraId="13D49BEB" w14:textId="3C236818" w:rsidR="00117CF8" w:rsidRDefault="00117CF8">
          <w:pPr>
            <w:pStyle w:val="TOC2"/>
            <w:rPr>
              <w:b w:val="0"/>
              <w:bCs w:val="0"/>
              <w:kern w:val="2"/>
              <w:sz w:val="22"/>
              <w:szCs w:val="22"/>
              <w:lang w:val="en-IE" w:eastAsia="en-IE"/>
              <w14:ligatures w14:val="standardContextual"/>
            </w:rPr>
          </w:pPr>
          <w:hyperlink w:anchor="_Toc168350308" w:history="1">
            <w:r w:rsidRPr="00C072A1">
              <w:rPr>
                <w:rStyle w:val="Hyperlink"/>
              </w:rPr>
              <w:t>3.1.</w:t>
            </w:r>
            <w:r>
              <w:rPr>
                <w:b w:val="0"/>
                <w:bCs w:val="0"/>
                <w:kern w:val="2"/>
                <w:sz w:val="22"/>
                <w:szCs w:val="22"/>
                <w:lang w:val="en-IE" w:eastAsia="en-IE"/>
                <w14:ligatures w14:val="standardContextual"/>
              </w:rPr>
              <w:tab/>
            </w:r>
            <w:r w:rsidRPr="00C072A1">
              <w:rPr>
                <w:rStyle w:val="Hyperlink"/>
              </w:rPr>
              <w:t>Simplified cost options must be defined ex-ante</w:t>
            </w:r>
            <w:r>
              <w:rPr>
                <w:webHidden/>
              </w:rPr>
              <w:tab/>
            </w:r>
            <w:r>
              <w:rPr>
                <w:webHidden/>
              </w:rPr>
              <w:fldChar w:fldCharType="begin"/>
            </w:r>
            <w:r>
              <w:rPr>
                <w:webHidden/>
              </w:rPr>
              <w:instrText xml:space="preserve"> PAGEREF _Toc168350308 \h </w:instrText>
            </w:r>
            <w:r>
              <w:rPr>
                <w:webHidden/>
              </w:rPr>
            </w:r>
            <w:r>
              <w:rPr>
                <w:webHidden/>
              </w:rPr>
              <w:fldChar w:fldCharType="separate"/>
            </w:r>
            <w:r>
              <w:rPr>
                <w:webHidden/>
              </w:rPr>
              <w:t>27</w:t>
            </w:r>
            <w:r>
              <w:rPr>
                <w:webHidden/>
              </w:rPr>
              <w:fldChar w:fldCharType="end"/>
            </w:r>
          </w:hyperlink>
        </w:p>
        <w:p w14:paraId="5E6E5199" w14:textId="21F7ECD1" w:rsidR="00117CF8" w:rsidRDefault="00117CF8">
          <w:pPr>
            <w:pStyle w:val="TOC2"/>
            <w:rPr>
              <w:b w:val="0"/>
              <w:bCs w:val="0"/>
              <w:kern w:val="2"/>
              <w:sz w:val="22"/>
              <w:szCs w:val="22"/>
              <w:lang w:val="en-IE" w:eastAsia="en-IE"/>
              <w14:ligatures w14:val="standardContextual"/>
            </w:rPr>
          </w:pPr>
          <w:hyperlink w:anchor="_Toc168350309" w:history="1">
            <w:r w:rsidRPr="00C072A1">
              <w:rPr>
                <w:rStyle w:val="Hyperlink"/>
              </w:rPr>
              <w:t>3.2.</w:t>
            </w:r>
            <w:r>
              <w:rPr>
                <w:b w:val="0"/>
                <w:bCs w:val="0"/>
                <w:kern w:val="2"/>
                <w:sz w:val="22"/>
                <w:szCs w:val="22"/>
                <w:lang w:val="en-IE" w:eastAsia="en-IE"/>
                <w14:ligatures w14:val="standardContextual"/>
              </w:rPr>
              <w:tab/>
            </w:r>
            <w:r w:rsidRPr="00C072A1">
              <w:rPr>
                <w:rStyle w:val="Hyperlink"/>
              </w:rPr>
              <w:t>Methodologies</w:t>
            </w:r>
            <w:r>
              <w:rPr>
                <w:webHidden/>
              </w:rPr>
              <w:tab/>
            </w:r>
            <w:r>
              <w:rPr>
                <w:webHidden/>
              </w:rPr>
              <w:fldChar w:fldCharType="begin"/>
            </w:r>
            <w:r>
              <w:rPr>
                <w:webHidden/>
              </w:rPr>
              <w:instrText xml:space="preserve"> PAGEREF _Toc168350309 \h </w:instrText>
            </w:r>
            <w:r>
              <w:rPr>
                <w:webHidden/>
              </w:rPr>
            </w:r>
            <w:r>
              <w:rPr>
                <w:webHidden/>
              </w:rPr>
              <w:fldChar w:fldCharType="separate"/>
            </w:r>
            <w:r>
              <w:rPr>
                <w:webHidden/>
              </w:rPr>
              <w:t>28</w:t>
            </w:r>
            <w:r>
              <w:rPr>
                <w:webHidden/>
              </w:rPr>
              <w:fldChar w:fldCharType="end"/>
            </w:r>
          </w:hyperlink>
        </w:p>
        <w:p w14:paraId="493D4282" w14:textId="645ECA12" w:rsidR="00117CF8" w:rsidRDefault="00117CF8">
          <w:pPr>
            <w:pStyle w:val="TOC3"/>
            <w:rPr>
              <w:noProof/>
              <w:kern w:val="2"/>
              <w:sz w:val="22"/>
              <w:szCs w:val="22"/>
              <w:lang w:val="en-IE" w:eastAsia="en-IE"/>
              <w14:ligatures w14:val="standardContextual"/>
            </w:rPr>
          </w:pPr>
          <w:hyperlink w:anchor="_Toc168350310" w:history="1">
            <w:r w:rsidRPr="00C072A1">
              <w:rPr>
                <w:rStyle w:val="Hyperlink"/>
                <w:noProof/>
              </w:rPr>
              <w:t>3.2.1.</w:t>
            </w:r>
            <w:r>
              <w:rPr>
                <w:noProof/>
                <w:kern w:val="2"/>
                <w:sz w:val="22"/>
                <w:szCs w:val="22"/>
                <w:lang w:val="en-IE" w:eastAsia="en-IE"/>
                <w14:ligatures w14:val="standardContextual"/>
              </w:rPr>
              <w:tab/>
            </w:r>
            <w:r w:rsidRPr="00C072A1">
              <w:rPr>
                <w:rStyle w:val="Hyperlink"/>
                <w:noProof/>
              </w:rPr>
              <w:t>A fair, equitable and verifiable calculation method</w:t>
            </w:r>
            <w:r>
              <w:rPr>
                <w:noProof/>
                <w:webHidden/>
              </w:rPr>
              <w:tab/>
            </w:r>
            <w:r>
              <w:rPr>
                <w:noProof/>
                <w:webHidden/>
              </w:rPr>
              <w:fldChar w:fldCharType="begin"/>
            </w:r>
            <w:r>
              <w:rPr>
                <w:noProof/>
                <w:webHidden/>
              </w:rPr>
              <w:instrText xml:space="preserve"> PAGEREF _Toc168350310 \h </w:instrText>
            </w:r>
            <w:r>
              <w:rPr>
                <w:noProof/>
                <w:webHidden/>
              </w:rPr>
            </w:r>
            <w:r>
              <w:rPr>
                <w:noProof/>
                <w:webHidden/>
              </w:rPr>
              <w:fldChar w:fldCharType="separate"/>
            </w:r>
            <w:r>
              <w:rPr>
                <w:noProof/>
                <w:webHidden/>
              </w:rPr>
              <w:t>28</w:t>
            </w:r>
            <w:r>
              <w:rPr>
                <w:noProof/>
                <w:webHidden/>
              </w:rPr>
              <w:fldChar w:fldCharType="end"/>
            </w:r>
          </w:hyperlink>
        </w:p>
        <w:p w14:paraId="4E2D4C98" w14:textId="57369891" w:rsidR="00117CF8" w:rsidRDefault="00117CF8">
          <w:pPr>
            <w:pStyle w:val="TOC3"/>
            <w:rPr>
              <w:noProof/>
              <w:kern w:val="2"/>
              <w:sz w:val="22"/>
              <w:szCs w:val="22"/>
              <w:lang w:val="en-IE" w:eastAsia="en-IE"/>
              <w14:ligatures w14:val="standardContextual"/>
            </w:rPr>
          </w:pPr>
          <w:hyperlink w:anchor="_Toc168350311" w:history="1">
            <w:r w:rsidRPr="00C072A1">
              <w:rPr>
                <w:rStyle w:val="Hyperlink"/>
                <w:noProof/>
              </w:rPr>
              <w:t>3.2.2.</w:t>
            </w:r>
            <w:r>
              <w:rPr>
                <w:noProof/>
                <w:kern w:val="2"/>
                <w:sz w:val="22"/>
                <w:szCs w:val="22"/>
                <w:lang w:val="en-IE" w:eastAsia="en-IE"/>
                <w14:ligatures w14:val="standardContextual"/>
              </w:rPr>
              <w:tab/>
            </w:r>
            <w:r w:rsidRPr="00C072A1">
              <w:rPr>
                <w:rStyle w:val="Hyperlink"/>
                <w:noProof/>
              </w:rPr>
              <w:t>Draft budget</w:t>
            </w:r>
            <w:r>
              <w:rPr>
                <w:noProof/>
                <w:webHidden/>
              </w:rPr>
              <w:tab/>
            </w:r>
            <w:r>
              <w:rPr>
                <w:noProof/>
                <w:webHidden/>
              </w:rPr>
              <w:fldChar w:fldCharType="begin"/>
            </w:r>
            <w:r>
              <w:rPr>
                <w:noProof/>
                <w:webHidden/>
              </w:rPr>
              <w:instrText xml:space="preserve"> PAGEREF _Toc168350311 \h </w:instrText>
            </w:r>
            <w:r>
              <w:rPr>
                <w:noProof/>
                <w:webHidden/>
              </w:rPr>
            </w:r>
            <w:r>
              <w:rPr>
                <w:noProof/>
                <w:webHidden/>
              </w:rPr>
              <w:fldChar w:fldCharType="separate"/>
            </w:r>
            <w:r>
              <w:rPr>
                <w:noProof/>
                <w:webHidden/>
              </w:rPr>
              <w:t>31</w:t>
            </w:r>
            <w:r>
              <w:rPr>
                <w:noProof/>
                <w:webHidden/>
              </w:rPr>
              <w:fldChar w:fldCharType="end"/>
            </w:r>
          </w:hyperlink>
        </w:p>
        <w:p w14:paraId="3AE0351E" w14:textId="6F7DAE0D" w:rsidR="00117CF8" w:rsidRDefault="00117CF8">
          <w:pPr>
            <w:pStyle w:val="TOC3"/>
            <w:rPr>
              <w:noProof/>
              <w:kern w:val="2"/>
              <w:sz w:val="22"/>
              <w:szCs w:val="22"/>
              <w:lang w:val="en-IE" w:eastAsia="en-IE"/>
              <w14:ligatures w14:val="standardContextual"/>
            </w:rPr>
          </w:pPr>
          <w:hyperlink w:anchor="_Toc168350312" w:history="1">
            <w:r w:rsidRPr="00C072A1">
              <w:rPr>
                <w:rStyle w:val="Hyperlink"/>
                <w:noProof/>
              </w:rPr>
              <w:t>3.2.3.</w:t>
            </w:r>
            <w:r>
              <w:rPr>
                <w:noProof/>
                <w:kern w:val="2"/>
                <w:sz w:val="22"/>
                <w:szCs w:val="22"/>
                <w:lang w:val="en-IE" w:eastAsia="en-IE"/>
                <w14:ligatures w14:val="standardContextual"/>
              </w:rPr>
              <w:tab/>
            </w:r>
            <w:r w:rsidRPr="00C072A1">
              <w:rPr>
                <w:rStyle w:val="Hyperlink"/>
                <w:noProof/>
              </w:rPr>
              <w:t>Use of simplified cost option from Union policies</w:t>
            </w:r>
            <w:r>
              <w:rPr>
                <w:noProof/>
                <w:webHidden/>
              </w:rPr>
              <w:tab/>
            </w:r>
            <w:r>
              <w:rPr>
                <w:noProof/>
                <w:webHidden/>
              </w:rPr>
              <w:fldChar w:fldCharType="begin"/>
            </w:r>
            <w:r>
              <w:rPr>
                <w:noProof/>
                <w:webHidden/>
              </w:rPr>
              <w:instrText xml:space="preserve"> PAGEREF _Toc168350312 \h </w:instrText>
            </w:r>
            <w:r>
              <w:rPr>
                <w:noProof/>
                <w:webHidden/>
              </w:rPr>
            </w:r>
            <w:r>
              <w:rPr>
                <w:noProof/>
                <w:webHidden/>
              </w:rPr>
              <w:fldChar w:fldCharType="separate"/>
            </w:r>
            <w:r>
              <w:rPr>
                <w:noProof/>
                <w:webHidden/>
              </w:rPr>
              <w:t>34</w:t>
            </w:r>
            <w:r>
              <w:rPr>
                <w:noProof/>
                <w:webHidden/>
              </w:rPr>
              <w:fldChar w:fldCharType="end"/>
            </w:r>
          </w:hyperlink>
        </w:p>
        <w:p w14:paraId="466287D4" w14:textId="1FAE3A4F" w:rsidR="00117CF8" w:rsidRDefault="00117CF8">
          <w:pPr>
            <w:pStyle w:val="TOC3"/>
            <w:rPr>
              <w:noProof/>
              <w:kern w:val="2"/>
              <w:sz w:val="22"/>
              <w:szCs w:val="22"/>
              <w:lang w:val="en-IE" w:eastAsia="en-IE"/>
              <w14:ligatures w14:val="standardContextual"/>
            </w:rPr>
          </w:pPr>
          <w:hyperlink w:anchor="_Toc168350313" w:history="1">
            <w:r w:rsidRPr="00C072A1">
              <w:rPr>
                <w:rStyle w:val="Hyperlink"/>
                <w:noProof/>
              </w:rPr>
              <w:t>3.2.4.</w:t>
            </w:r>
            <w:r>
              <w:rPr>
                <w:noProof/>
                <w:kern w:val="2"/>
                <w:sz w:val="22"/>
                <w:szCs w:val="22"/>
                <w:lang w:val="en-IE" w:eastAsia="en-IE"/>
                <w14:ligatures w14:val="standardContextual"/>
              </w:rPr>
              <w:tab/>
            </w:r>
            <w:r w:rsidRPr="00C072A1">
              <w:rPr>
                <w:rStyle w:val="Hyperlink"/>
                <w:noProof/>
              </w:rPr>
              <w:t>Use of simplified cost options from schemes for grants funded entirely by Member States</w:t>
            </w:r>
            <w:r>
              <w:rPr>
                <w:noProof/>
                <w:webHidden/>
              </w:rPr>
              <w:tab/>
            </w:r>
            <w:r>
              <w:rPr>
                <w:noProof/>
                <w:webHidden/>
              </w:rPr>
              <w:fldChar w:fldCharType="begin"/>
            </w:r>
            <w:r>
              <w:rPr>
                <w:noProof/>
                <w:webHidden/>
              </w:rPr>
              <w:instrText xml:space="preserve"> PAGEREF _Toc168350313 \h </w:instrText>
            </w:r>
            <w:r>
              <w:rPr>
                <w:noProof/>
                <w:webHidden/>
              </w:rPr>
            </w:r>
            <w:r>
              <w:rPr>
                <w:noProof/>
                <w:webHidden/>
              </w:rPr>
              <w:fldChar w:fldCharType="separate"/>
            </w:r>
            <w:r>
              <w:rPr>
                <w:noProof/>
                <w:webHidden/>
              </w:rPr>
              <w:t>35</w:t>
            </w:r>
            <w:r>
              <w:rPr>
                <w:noProof/>
                <w:webHidden/>
              </w:rPr>
              <w:fldChar w:fldCharType="end"/>
            </w:r>
          </w:hyperlink>
        </w:p>
        <w:p w14:paraId="4D01B83E" w14:textId="66F8AD40" w:rsidR="00117CF8" w:rsidRDefault="00117CF8">
          <w:pPr>
            <w:pStyle w:val="TOC3"/>
            <w:rPr>
              <w:noProof/>
              <w:kern w:val="2"/>
              <w:sz w:val="22"/>
              <w:szCs w:val="22"/>
              <w:lang w:val="en-IE" w:eastAsia="en-IE"/>
              <w14:ligatures w14:val="standardContextual"/>
            </w:rPr>
          </w:pPr>
          <w:hyperlink w:anchor="_Toc168350314" w:history="1">
            <w:r w:rsidRPr="00C072A1">
              <w:rPr>
                <w:rStyle w:val="Hyperlink"/>
                <w:noProof/>
              </w:rPr>
              <w:t>3.2.5.</w:t>
            </w:r>
            <w:r>
              <w:rPr>
                <w:noProof/>
                <w:kern w:val="2"/>
                <w:sz w:val="22"/>
                <w:szCs w:val="22"/>
                <w:lang w:val="en-IE" w:eastAsia="en-IE"/>
                <w14:ligatures w14:val="standardContextual"/>
              </w:rPr>
              <w:tab/>
            </w:r>
            <w:r w:rsidRPr="00C072A1">
              <w:rPr>
                <w:rStyle w:val="Hyperlink"/>
                <w:noProof/>
              </w:rPr>
              <w:t>Using rates established by the CPR or the Fund-specific rules</w:t>
            </w:r>
            <w:r>
              <w:rPr>
                <w:noProof/>
                <w:webHidden/>
              </w:rPr>
              <w:tab/>
            </w:r>
            <w:r>
              <w:rPr>
                <w:noProof/>
                <w:webHidden/>
              </w:rPr>
              <w:fldChar w:fldCharType="begin"/>
            </w:r>
            <w:r>
              <w:rPr>
                <w:noProof/>
                <w:webHidden/>
              </w:rPr>
              <w:instrText xml:space="preserve"> PAGEREF _Toc168350314 \h </w:instrText>
            </w:r>
            <w:r>
              <w:rPr>
                <w:noProof/>
                <w:webHidden/>
              </w:rPr>
            </w:r>
            <w:r>
              <w:rPr>
                <w:noProof/>
                <w:webHidden/>
              </w:rPr>
              <w:fldChar w:fldCharType="separate"/>
            </w:r>
            <w:r>
              <w:rPr>
                <w:noProof/>
                <w:webHidden/>
              </w:rPr>
              <w:t>35</w:t>
            </w:r>
            <w:r>
              <w:rPr>
                <w:noProof/>
                <w:webHidden/>
              </w:rPr>
              <w:fldChar w:fldCharType="end"/>
            </w:r>
          </w:hyperlink>
        </w:p>
        <w:p w14:paraId="5605EF66" w14:textId="49DBA721" w:rsidR="00117CF8" w:rsidRDefault="00117CF8">
          <w:pPr>
            <w:pStyle w:val="TOC3"/>
            <w:rPr>
              <w:noProof/>
              <w:kern w:val="2"/>
              <w:sz w:val="22"/>
              <w:szCs w:val="22"/>
              <w:lang w:val="en-IE" w:eastAsia="en-IE"/>
              <w14:ligatures w14:val="standardContextual"/>
            </w:rPr>
          </w:pPr>
          <w:hyperlink w:anchor="_Toc168350315" w:history="1">
            <w:r w:rsidRPr="00C072A1">
              <w:rPr>
                <w:rStyle w:val="Hyperlink"/>
                <w:noProof/>
              </w:rPr>
              <w:t>3.2.6.</w:t>
            </w:r>
            <w:r>
              <w:rPr>
                <w:noProof/>
                <w:kern w:val="2"/>
                <w:sz w:val="22"/>
                <w:szCs w:val="22"/>
                <w:lang w:val="en-IE" w:eastAsia="en-IE"/>
                <w14:ligatures w14:val="standardContextual"/>
              </w:rPr>
              <w:tab/>
            </w:r>
            <w:r w:rsidRPr="00C072A1">
              <w:rPr>
                <w:rStyle w:val="Hyperlink"/>
                <w:noProof/>
              </w:rPr>
              <w:t>Re-use/recycle simplified cost options set up within the same Member State or from other Member States</w:t>
            </w:r>
            <w:r>
              <w:rPr>
                <w:noProof/>
                <w:webHidden/>
              </w:rPr>
              <w:tab/>
            </w:r>
            <w:r>
              <w:rPr>
                <w:noProof/>
                <w:webHidden/>
              </w:rPr>
              <w:fldChar w:fldCharType="begin"/>
            </w:r>
            <w:r>
              <w:rPr>
                <w:noProof/>
                <w:webHidden/>
              </w:rPr>
              <w:instrText xml:space="preserve"> PAGEREF _Toc168350315 \h </w:instrText>
            </w:r>
            <w:r>
              <w:rPr>
                <w:noProof/>
                <w:webHidden/>
              </w:rPr>
            </w:r>
            <w:r>
              <w:rPr>
                <w:noProof/>
                <w:webHidden/>
              </w:rPr>
              <w:fldChar w:fldCharType="separate"/>
            </w:r>
            <w:r>
              <w:rPr>
                <w:noProof/>
                <w:webHidden/>
              </w:rPr>
              <w:t>36</w:t>
            </w:r>
            <w:r>
              <w:rPr>
                <w:noProof/>
                <w:webHidden/>
              </w:rPr>
              <w:fldChar w:fldCharType="end"/>
            </w:r>
          </w:hyperlink>
        </w:p>
        <w:p w14:paraId="3CBE03D5" w14:textId="57641FA7" w:rsidR="00117CF8" w:rsidRDefault="00117CF8">
          <w:pPr>
            <w:pStyle w:val="TOC2"/>
            <w:rPr>
              <w:b w:val="0"/>
              <w:bCs w:val="0"/>
              <w:kern w:val="2"/>
              <w:sz w:val="22"/>
              <w:szCs w:val="22"/>
              <w:lang w:val="en-IE" w:eastAsia="en-IE"/>
              <w14:ligatures w14:val="standardContextual"/>
            </w:rPr>
          </w:pPr>
          <w:hyperlink w:anchor="_Toc168350316" w:history="1">
            <w:r w:rsidRPr="00C072A1">
              <w:rPr>
                <w:rStyle w:val="Hyperlink"/>
              </w:rPr>
              <w:t>3.3.</w:t>
            </w:r>
            <w:r>
              <w:rPr>
                <w:b w:val="0"/>
                <w:bCs w:val="0"/>
                <w:kern w:val="2"/>
                <w:sz w:val="22"/>
                <w:szCs w:val="22"/>
                <w:lang w:val="en-IE" w:eastAsia="en-IE"/>
                <w14:ligatures w14:val="standardContextual"/>
              </w:rPr>
              <w:tab/>
            </w:r>
            <w:r w:rsidRPr="00C072A1">
              <w:rPr>
                <w:rStyle w:val="Hyperlink"/>
              </w:rPr>
              <w:t>Procedural steps towards approval of a simplified cost option in the programme (‘upper level’)</w:t>
            </w:r>
            <w:r>
              <w:rPr>
                <w:webHidden/>
              </w:rPr>
              <w:tab/>
            </w:r>
            <w:r>
              <w:rPr>
                <w:webHidden/>
              </w:rPr>
              <w:fldChar w:fldCharType="begin"/>
            </w:r>
            <w:r>
              <w:rPr>
                <w:webHidden/>
              </w:rPr>
              <w:instrText xml:space="preserve"> PAGEREF _Toc168350316 \h </w:instrText>
            </w:r>
            <w:r>
              <w:rPr>
                <w:webHidden/>
              </w:rPr>
            </w:r>
            <w:r>
              <w:rPr>
                <w:webHidden/>
              </w:rPr>
              <w:fldChar w:fldCharType="separate"/>
            </w:r>
            <w:r>
              <w:rPr>
                <w:webHidden/>
              </w:rPr>
              <w:t>36</w:t>
            </w:r>
            <w:r>
              <w:rPr>
                <w:webHidden/>
              </w:rPr>
              <w:fldChar w:fldCharType="end"/>
            </w:r>
          </w:hyperlink>
        </w:p>
        <w:p w14:paraId="60A5CBCF" w14:textId="748DDE8C" w:rsidR="00117CF8" w:rsidRDefault="00117CF8">
          <w:pPr>
            <w:pStyle w:val="TOC2"/>
            <w:rPr>
              <w:b w:val="0"/>
              <w:bCs w:val="0"/>
              <w:kern w:val="2"/>
              <w:sz w:val="22"/>
              <w:szCs w:val="22"/>
              <w:lang w:val="en-IE" w:eastAsia="en-IE"/>
              <w14:ligatures w14:val="standardContextual"/>
            </w:rPr>
          </w:pPr>
          <w:hyperlink w:anchor="_Toc168350317" w:history="1">
            <w:r w:rsidRPr="00C072A1">
              <w:rPr>
                <w:rStyle w:val="Hyperlink"/>
              </w:rPr>
              <w:t>3.4.</w:t>
            </w:r>
            <w:r>
              <w:rPr>
                <w:b w:val="0"/>
                <w:bCs w:val="0"/>
                <w:kern w:val="2"/>
                <w:sz w:val="22"/>
                <w:szCs w:val="22"/>
                <w:lang w:val="en-IE" w:eastAsia="en-IE"/>
                <w14:ligatures w14:val="standardContextual"/>
              </w:rPr>
              <w:tab/>
            </w:r>
            <w:r w:rsidRPr="00C072A1">
              <w:rPr>
                <w:rStyle w:val="Hyperlink"/>
              </w:rPr>
              <w:t>Adaptation of simplified cost options in time (Adjustment Method)</w:t>
            </w:r>
            <w:r>
              <w:rPr>
                <w:webHidden/>
              </w:rPr>
              <w:tab/>
            </w:r>
            <w:r>
              <w:rPr>
                <w:webHidden/>
              </w:rPr>
              <w:fldChar w:fldCharType="begin"/>
            </w:r>
            <w:r>
              <w:rPr>
                <w:webHidden/>
              </w:rPr>
              <w:instrText xml:space="preserve"> PAGEREF _Toc168350317 \h </w:instrText>
            </w:r>
            <w:r>
              <w:rPr>
                <w:webHidden/>
              </w:rPr>
            </w:r>
            <w:r>
              <w:rPr>
                <w:webHidden/>
              </w:rPr>
              <w:fldChar w:fldCharType="separate"/>
            </w:r>
            <w:r>
              <w:rPr>
                <w:webHidden/>
              </w:rPr>
              <w:t>37</w:t>
            </w:r>
            <w:r>
              <w:rPr>
                <w:webHidden/>
              </w:rPr>
              <w:fldChar w:fldCharType="end"/>
            </w:r>
          </w:hyperlink>
        </w:p>
        <w:p w14:paraId="53889E56" w14:textId="20426E1B" w:rsidR="00117CF8" w:rsidRDefault="00117CF8">
          <w:pPr>
            <w:pStyle w:val="TOC1"/>
            <w:rPr>
              <w:noProof/>
              <w:kern w:val="2"/>
              <w:sz w:val="22"/>
              <w:szCs w:val="22"/>
              <w:lang w:val="en-IE" w:eastAsia="en-IE"/>
              <w14:ligatures w14:val="standardContextual"/>
            </w:rPr>
          </w:pPr>
          <w:hyperlink w:anchor="_Toc168350318" w:history="1">
            <w:r w:rsidRPr="00C072A1">
              <w:rPr>
                <w:rStyle w:val="Hyperlink"/>
                <w:b/>
                <w:bCs/>
                <w:noProof/>
              </w:rPr>
              <w:t>Chapter 4: Implementing simplified cost options</w:t>
            </w:r>
            <w:r>
              <w:rPr>
                <w:noProof/>
                <w:webHidden/>
              </w:rPr>
              <w:tab/>
            </w:r>
            <w:r>
              <w:rPr>
                <w:noProof/>
                <w:webHidden/>
              </w:rPr>
              <w:fldChar w:fldCharType="begin"/>
            </w:r>
            <w:r>
              <w:rPr>
                <w:noProof/>
                <w:webHidden/>
              </w:rPr>
              <w:instrText xml:space="preserve"> PAGEREF _Toc168350318 \h </w:instrText>
            </w:r>
            <w:r>
              <w:rPr>
                <w:noProof/>
                <w:webHidden/>
              </w:rPr>
            </w:r>
            <w:r>
              <w:rPr>
                <w:noProof/>
                <w:webHidden/>
              </w:rPr>
              <w:fldChar w:fldCharType="separate"/>
            </w:r>
            <w:r>
              <w:rPr>
                <w:noProof/>
                <w:webHidden/>
              </w:rPr>
              <w:t>38</w:t>
            </w:r>
            <w:r>
              <w:rPr>
                <w:noProof/>
                <w:webHidden/>
              </w:rPr>
              <w:fldChar w:fldCharType="end"/>
            </w:r>
          </w:hyperlink>
        </w:p>
        <w:p w14:paraId="3B2F36CA" w14:textId="7639C00C" w:rsidR="00117CF8" w:rsidRDefault="00117CF8">
          <w:pPr>
            <w:pStyle w:val="TOC2"/>
            <w:rPr>
              <w:b w:val="0"/>
              <w:bCs w:val="0"/>
              <w:kern w:val="2"/>
              <w:sz w:val="22"/>
              <w:szCs w:val="22"/>
              <w:lang w:val="en-IE" w:eastAsia="en-IE"/>
              <w14:ligatures w14:val="standardContextual"/>
            </w:rPr>
          </w:pPr>
          <w:hyperlink w:anchor="_Toc168350319" w:history="1">
            <w:r w:rsidRPr="00C072A1">
              <w:rPr>
                <w:rStyle w:val="Hyperlink"/>
              </w:rPr>
              <w:t xml:space="preserve">4.1. </w:t>
            </w:r>
            <w:r>
              <w:rPr>
                <w:b w:val="0"/>
                <w:bCs w:val="0"/>
                <w:kern w:val="2"/>
                <w:sz w:val="22"/>
                <w:szCs w:val="22"/>
                <w:lang w:val="en-IE" w:eastAsia="en-IE"/>
                <w14:ligatures w14:val="standardContextual"/>
              </w:rPr>
              <w:tab/>
            </w:r>
            <w:r w:rsidRPr="00C072A1">
              <w:rPr>
                <w:rStyle w:val="Hyperlink"/>
              </w:rPr>
              <w:t>Currency used for SCOs established at “upper level”</w:t>
            </w:r>
            <w:r>
              <w:rPr>
                <w:webHidden/>
              </w:rPr>
              <w:tab/>
            </w:r>
            <w:r>
              <w:rPr>
                <w:webHidden/>
              </w:rPr>
              <w:fldChar w:fldCharType="begin"/>
            </w:r>
            <w:r>
              <w:rPr>
                <w:webHidden/>
              </w:rPr>
              <w:instrText xml:space="preserve"> PAGEREF _Toc168350319 \h </w:instrText>
            </w:r>
            <w:r>
              <w:rPr>
                <w:webHidden/>
              </w:rPr>
            </w:r>
            <w:r>
              <w:rPr>
                <w:webHidden/>
              </w:rPr>
              <w:fldChar w:fldCharType="separate"/>
            </w:r>
            <w:r>
              <w:rPr>
                <w:webHidden/>
              </w:rPr>
              <w:t>38</w:t>
            </w:r>
            <w:r>
              <w:rPr>
                <w:webHidden/>
              </w:rPr>
              <w:fldChar w:fldCharType="end"/>
            </w:r>
          </w:hyperlink>
        </w:p>
        <w:p w14:paraId="1D55AC4A" w14:textId="3C09D40C" w:rsidR="00117CF8" w:rsidRDefault="00117CF8">
          <w:pPr>
            <w:pStyle w:val="TOC2"/>
            <w:rPr>
              <w:b w:val="0"/>
              <w:bCs w:val="0"/>
              <w:kern w:val="2"/>
              <w:sz w:val="22"/>
              <w:szCs w:val="22"/>
              <w:lang w:val="en-IE" w:eastAsia="en-IE"/>
              <w14:ligatures w14:val="standardContextual"/>
            </w:rPr>
          </w:pPr>
          <w:hyperlink w:anchor="_Toc168350320" w:history="1">
            <w:r w:rsidRPr="00C072A1">
              <w:rPr>
                <w:rStyle w:val="Hyperlink"/>
              </w:rPr>
              <w:t xml:space="preserve">4.2. </w:t>
            </w:r>
            <w:r>
              <w:rPr>
                <w:b w:val="0"/>
                <w:bCs w:val="0"/>
                <w:kern w:val="2"/>
                <w:sz w:val="22"/>
                <w:szCs w:val="22"/>
                <w:lang w:val="en-IE" w:eastAsia="en-IE"/>
                <w14:ligatures w14:val="standardContextual"/>
              </w:rPr>
              <w:tab/>
            </w:r>
            <w:r w:rsidRPr="00C072A1">
              <w:rPr>
                <w:rStyle w:val="Hyperlink"/>
              </w:rPr>
              <w:t>Application in time of simplified cost options adopted in the programme</w:t>
            </w:r>
            <w:r>
              <w:rPr>
                <w:webHidden/>
              </w:rPr>
              <w:tab/>
            </w:r>
            <w:r>
              <w:rPr>
                <w:webHidden/>
              </w:rPr>
              <w:fldChar w:fldCharType="begin"/>
            </w:r>
            <w:r>
              <w:rPr>
                <w:webHidden/>
              </w:rPr>
              <w:instrText xml:space="preserve"> PAGEREF _Toc168350320 \h </w:instrText>
            </w:r>
            <w:r>
              <w:rPr>
                <w:webHidden/>
              </w:rPr>
            </w:r>
            <w:r>
              <w:rPr>
                <w:webHidden/>
              </w:rPr>
              <w:fldChar w:fldCharType="separate"/>
            </w:r>
            <w:r>
              <w:rPr>
                <w:webHidden/>
              </w:rPr>
              <w:t>38</w:t>
            </w:r>
            <w:r>
              <w:rPr>
                <w:webHidden/>
              </w:rPr>
              <w:fldChar w:fldCharType="end"/>
            </w:r>
          </w:hyperlink>
        </w:p>
        <w:p w14:paraId="7ABF629A" w14:textId="408EF424" w:rsidR="00117CF8" w:rsidRDefault="00117CF8">
          <w:pPr>
            <w:pStyle w:val="TOC2"/>
            <w:rPr>
              <w:b w:val="0"/>
              <w:bCs w:val="0"/>
              <w:kern w:val="2"/>
              <w:sz w:val="22"/>
              <w:szCs w:val="22"/>
              <w:lang w:val="en-IE" w:eastAsia="en-IE"/>
              <w14:ligatures w14:val="standardContextual"/>
            </w:rPr>
          </w:pPr>
          <w:hyperlink w:anchor="_Toc168350321" w:history="1">
            <w:r w:rsidRPr="00C072A1">
              <w:rPr>
                <w:rStyle w:val="Hyperlink"/>
              </w:rPr>
              <w:t>4.3.</w:t>
            </w:r>
            <w:r>
              <w:rPr>
                <w:b w:val="0"/>
                <w:bCs w:val="0"/>
                <w:kern w:val="2"/>
                <w:sz w:val="22"/>
                <w:szCs w:val="22"/>
                <w:lang w:val="en-IE" w:eastAsia="en-IE"/>
                <w14:ligatures w14:val="standardContextual"/>
              </w:rPr>
              <w:tab/>
            </w:r>
            <w:r w:rsidRPr="00C072A1">
              <w:rPr>
                <w:rStyle w:val="Hyperlink"/>
              </w:rPr>
              <w:t>How to declare simplified cost options in the payment applications</w:t>
            </w:r>
            <w:r>
              <w:rPr>
                <w:webHidden/>
              </w:rPr>
              <w:tab/>
            </w:r>
            <w:r>
              <w:rPr>
                <w:webHidden/>
              </w:rPr>
              <w:fldChar w:fldCharType="begin"/>
            </w:r>
            <w:r>
              <w:rPr>
                <w:webHidden/>
              </w:rPr>
              <w:instrText xml:space="preserve"> PAGEREF _Toc168350321 \h </w:instrText>
            </w:r>
            <w:r>
              <w:rPr>
                <w:webHidden/>
              </w:rPr>
            </w:r>
            <w:r>
              <w:rPr>
                <w:webHidden/>
              </w:rPr>
              <w:fldChar w:fldCharType="separate"/>
            </w:r>
            <w:r>
              <w:rPr>
                <w:webHidden/>
              </w:rPr>
              <w:t>39</w:t>
            </w:r>
            <w:r>
              <w:rPr>
                <w:webHidden/>
              </w:rPr>
              <w:fldChar w:fldCharType="end"/>
            </w:r>
          </w:hyperlink>
        </w:p>
        <w:p w14:paraId="1B36B857" w14:textId="352DE86F" w:rsidR="00117CF8" w:rsidRDefault="00117CF8">
          <w:pPr>
            <w:pStyle w:val="TOC2"/>
            <w:rPr>
              <w:b w:val="0"/>
              <w:bCs w:val="0"/>
              <w:kern w:val="2"/>
              <w:sz w:val="22"/>
              <w:szCs w:val="22"/>
              <w:lang w:val="en-IE" w:eastAsia="en-IE"/>
              <w14:ligatures w14:val="standardContextual"/>
            </w:rPr>
          </w:pPr>
          <w:hyperlink w:anchor="_Toc168350322" w:history="1">
            <w:r w:rsidRPr="00C072A1">
              <w:rPr>
                <w:rStyle w:val="Hyperlink"/>
              </w:rPr>
              <w:t xml:space="preserve">4.4. </w:t>
            </w:r>
            <w:r>
              <w:rPr>
                <w:b w:val="0"/>
                <w:bCs w:val="0"/>
                <w:kern w:val="2"/>
                <w:sz w:val="22"/>
                <w:szCs w:val="22"/>
                <w:lang w:val="en-IE" w:eastAsia="en-IE"/>
                <w14:ligatures w14:val="standardContextual"/>
              </w:rPr>
              <w:tab/>
            </w:r>
            <w:r w:rsidRPr="00C072A1">
              <w:rPr>
                <w:rStyle w:val="Hyperlink"/>
              </w:rPr>
              <w:t>Use of simplified cost options set out in Commission delegated acts</w:t>
            </w:r>
            <w:r>
              <w:rPr>
                <w:webHidden/>
              </w:rPr>
              <w:tab/>
            </w:r>
            <w:r>
              <w:rPr>
                <w:webHidden/>
              </w:rPr>
              <w:fldChar w:fldCharType="begin"/>
            </w:r>
            <w:r>
              <w:rPr>
                <w:webHidden/>
              </w:rPr>
              <w:instrText xml:space="preserve"> PAGEREF _Toc168350322 \h </w:instrText>
            </w:r>
            <w:r>
              <w:rPr>
                <w:webHidden/>
              </w:rPr>
            </w:r>
            <w:r>
              <w:rPr>
                <w:webHidden/>
              </w:rPr>
              <w:fldChar w:fldCharType="separate"/>
            </w:r>
            <w:r>
              <w:rPr>
                <w:webHidden/>
              </w:rPr>
              <w:t>39</w:t>
            </w:r>
            <w:r>
              <w:rPr>
                <w:webHidden/>
              </w:rPr>
              <w:fldChar w:fldCharType="end"/>
            </w:r>
          </w:hyperlink>
        </w:p>
        <w:p w14:paraId="1D4AA7F7" w14:textId="039CF107" w:rsidR="00117CF8" w:rsidRDefault="00117CF8">
          <w:pPr>
            <w:pStyle w:val="TOC1"/>
            <w:rPr>
              <w:noProof/>
              <w:kern w:val="2"/>
              <w:sz w:val="22"/>
              <w:szCs w:val="22"/>
              <w:lang w:val="en-IE" w:eastAsia="en-IE"/>
              <w14:ligatures w14:val="standardContextual"/>
            </w:rPr>
          </w:pPr>
          <w:hyperlink w:anchor="_Toc168350323" w:history="1">
            <w:r w:rsidRPr="00C072A1">
              <w:rPr>
                <w:rStyle w:val="Hyperlink"/>
                <w:b/>
                <w:bCs/>
                <w:noProof/>
              </w:rPr>
              <w:t>Chapter 5: Horizontal principles</w:t>
            </w:r>
            <w:r>
              <w:rPr>
                <w:noProof/>
                <w:webHidden/>
              </w:rPr>
              <w:tab/>
            </w:r>
            <w:r>
              <w:rPr>
                <w:noProof/>
                <w:webHidden/>
              </w:rPr>
              <w:fldChar w:fldCharType="begin"/>
            </w:r>
            <w:r>
              <w:rPr>
                <w:noProof/>
                <w:webHidden/>
              </w:rPr>
              <w:instrText xml:space="preserve"> PAGEREF _Toc168350323 \h </w:instrText>
            </w:r>
            <w:r>
              <w:rPr>
                <w:noProof/>
                <w:webHidden/>
              </w:rPr>
            </w:r>
            <w:r>
              <w:rPr>
                <w:noProof/>
                <w:webHidden/>
              </w:rPr>
              <w:fldChar w:fldCharType="separate"/>
            </w:r>
            <w:r>
              <w:rPr>
                <w:noProof/>
                <w:webHidden/>
              </w:rPr>
              <w:t>41</w:t>
            </w:r>
            <w:r>
              <w:rPr>
                <w:noProof/>
                <w:webHidden/>
              </w:rPr>
              <w:fldChar w:fldCharType="end"/>
            </w:r>
          </w:hyperlink>
        </w:p>
        <w:p w14:paraId="541A77B6" w14:textId="0B8D8BB3" w:rsidR="00117CF8" w:rsidRDefault="00117CF8">
          <w:pPr>
            <w:pStyle w:val="TOC2"/>
            <w:rPr>
              <w:b w:val="0"/>
              <w:bCs w:val="0"/>
              <w:kern w:val="2"/>
              <w:sz w:val="22"/>
              <w:szCs w:val="22"/>
              <w:lang w:val="en-IE" w:eastAsia="en-IE"/>
              <w14:ligatures w14:val="standardContextual"/>
            </w:rPr>
          </w:pPr>
          <w:hyperlink w:anchor="_Toc168350324" w:history="1">
            <w:r w:rsidRPr="00C072A1">
              <w:rPr>
                <w:rStyle w:val="Hyperlink"/>
              </w:rPr>
              <w:t>5.1.</w:t>
            </w:r>
            <w:r>
              <w:rPr>
                <w:b w:val="0"/>
                <w:bCs w:val="0"/>
                <w:kern w:val="2"/>
                <w:sz w:val="22"/>
                <w:szCs w:val="22"/>
                <w:lang w:val="en-IE" w:eastAsia="en-IE"/>
                <w14:ligatures w14:val="standardContextual"/>
              </w:rPr>
              <w:tab/>
            </w:r>
            <w:r w:rsidRPr="00C072A1">
              <w:rPr>
                <w:rStyle w:val="Hyperlink"/>
              </w:rPr>
              <w:t>Public procurement and the use of simplified cost options</w:t>
            </w:r>
            <w:r>
              <w:rPr>
                <w:webHidden/>
              </w:rPr>
              <w:tab/>
            </w:r>
            <w:r>
              <w:rPr>
                <w:webHidden/>
              </w:rPr>
              <w:fldChar w:fldCharType="begin"/>
            </w:r>
            <w:r>
              <w:rPr>
                <w:webHidden/>
              </w:rPr>
              <w:instrText xml:space="preserve"> PAGEREF _Toc168350324 \h </w:instrText>
            </w:r>
            <w:r>
              <w:rPr>
                <w:webHidden/>
              </w:rPr>
            </w:r>
            <w:r>
              <w:rPr>
                <w:webHidden/>
              </w:rPr>
              <w:fldChar w:fldCharType="separate"/>
            </w:r>
            <w:r>
              <w:rPr>
                <w:webHidden/>
              </w:rPr>
              <w:t>41</w:t>
            </w:r>
            <w:r>
              <w:rPr>
                <w:webHidden/>
              </w:rPr>
              <w:fldChar w:fldCharType="end"/>
            </w:r>
          </w:hyperlink>
        </w:p>
        <w:p w14:paraId="166F57D0" w14:textId="4F49335B" w:rsidR="00117CF8" w:rsidRDefault="00117CF8">
          <w:pPr>
            <w:pStyle w:val="TOC2"/>
            <w:rPr>
              <w:b w:val="0"/>
              <w:bCs w:val="0"/>
              <w:kern w:val="2"/>
              <w:sz w:val="22"/>
              <w:szCs w:val="22"/>
              <w:lang w:val="en-IE" w:eastAsia="en-IE"/>
              <w14:ligatures w14:val="standardContextual"/>
            </w:rPr>
          </w:pPr>
          <w:hyperlink w:anchor="_Toc168350325" w:history="1">
            <w:r w:rsidRPr="00C072A1">
              <w:rPr>
                <w:rStyle w:val="Hyperlink"/>
              </w:rPr>
              <w:t>5.2.</w:t>
            </w:r>
            <w:r>
              <w:rPr>
                <w:b w:val="0"/>
                <w:bCs w:val="0"/>
                <w:kern w:val="2"/>
                <w:sz w:val="22"/>
                <w:szCs w:val="22"/>
                <w:lang w:val="en-IE" w:eastAsia="en-IE"/>
                <w14:ligatures w14:val="standardContextual"/>
              </w:rPr>
              <w:tab/>
            </w:r>
            <w:r w:rsidRPr="00C072A1">
              <w:rPr>
                <w:rStyle w:val="Hyperlink"/>
              </w:rPr>
              <w:t>Compatibility of simplified cost options with State aid rules</w:t>
            </w:r>
            <w:r>
              <w:rPr>
                <w:webHidden/>
              </w:rPr>
              <w:tab/>
            </w:r>
            <w:r>
              <w:rPr>
                <w:webHidden/>
              </w:rPr>
              <w:fldChar w:fldCharType="begin"/>
            </w:r>
            <w:r>
              <w:rPr>
                <w:webHidden/>
              </w:rPr>
              <w:instrText xml:space="preserve"> PAGEREF _Toc168350325 \h </w:instrText>
            </w:r>
            <w:r>
              <w:rPr>
                <w:webHidden/>
              </w:rPr>
            </w:r>
            <w:r>
              <w:rPr>
                <w:webHidden/>
              </w:rPr>
              <w:fldChar w:fldCharType="separate"/>
            </w:r>
            <w:r>
              <w:rPr>
                <w:webHidden/>
              </w:rPr>
              <w:t>41</w:t>
            </w:r>
            <w:r>
              <w:rPr>
                <w:webHidden/>
              </w:rPr>
              <w:fldChar w:fldCharType="end"/>
            </w:r>
          </w:hyperlink>
        </w:p>
        <w:p w14:paraId="4888801B" w14:textId="6501315C" w:rsidR="00117CF8" w:rsidRDefault="00117CF8">
          <w:pPr>
            <w:pStyle w:val="TOC2"/>
            <w:rPr>
              <w:b w:val="0"/>
              <w:bCs w:val="0"/>
              <w:kern w:val="2"/>
              <w:sz w:val="22"/>
              <w:szCs w:val="22"/>
              <w:lang w:val="en-IE" w:eastAsia="en-IE"/>
              <w14:ligatures w14:val="standardContextual"/>
            </w:rPr>
          </w:pPr>
          <w:hyperlink w:anchor="_Toc168350326" w:history="1">
            <w:r w:rsidRPr="00C072A1">
              <w:rPr>
                <w:rStyle w:val="Hyperlink"/>
              </w:rPr>
              <w:t>5.3.</w:t>
            </w:r>
            <w:r>
              <w:rPr>
                <w:b w:val="0"/>
                <w:bCs w:val="0"/>
                <w:kern w:val="2"/>
                <w:sz w:val="22"/>
                <w:szCs w:val="22"/>
                <w:lang w:val="en-IE" w:eastAsia="en-IE"/>
                <w14:ligatures w14:val="standardContextual"/>
              </w:rPr>
              <w:tab/>
            </w:r>
            <w:r w:rsidRPr="00C072A1">
              <w:rPr>
                <w:rStyle w:val="Hyperlink"/>
              </w:rPr>
              <w:t>ERDF and ESF+ specific: cross-financing</w:t>
            </w:r>
            <w:r>
              <w:rPr>
                <w:webHidden/>
              </w:rPr>
              <w:tab/>
            </w:r>
            <w:r>
              <w:rPr>
                <w:webHidden/>
              </w:rPr>
              <w:fldChar w:fldCharType="begin"/>
            </w:r>
            <w:r>
              <w:rPr>
                <w:webHidden/>
              </w:rPr>
              <w:instrText xml:space="preserve"> PAGEREF _Toc168350326 \h </w:instrText>
            </w:r>
            <w:r>
              <w:rPr>
                <w:webHidden/>
              </w:rPr>
            </w:r>
            <w:r>
              <w:rPr>
                <w:webHidden/>
              </w:rPr>
              <w:fldChar w:fldCharType="separate"/>
            </w:r>
            <w:r>
              <w:rPr>
                <w:webHidden/>
              </w:rPr>
              <w:t>44</w:t>
            </w:r>
            <w:r>
              <w:rPr>
                <w:webHidden/>
              </w:rPr>
              <w:fldChar w:fldCharType="end"/>
            </w:r>
          </w:hyperlink>
        </w:p>
        <w:p w14:paraId="37A778D5" w14:textId="31BE5DE7" w:rsidR="00117CF8" w:rsidRDefault="00117CF8">
          <w:pPr>
            <w:pStyle w:val="TOC2"/>
            <w:rPr>
              <w:b w:val="0"/>
              <w:bCs w:val="0"/>
              <w:kern w:val="2"/>
              <w:sz w:val="22"/>
              <w:szCs w:val="22"/>
              <w:lang w:val="en-IE" w:eastAsia="en-IE"/>
              <w14:ligatures w14:val="standardContextual"/>
            </w:rPr>
          </w:pPr>
          <w:hyperlink w:anchor="_Toc168350327" w:history="1">
            <w:r w:rsidRPr="00C072A1">
              <w:rPr>
                <w:rStyle w:val="Hyperlink"/>
              </w:rPr>
              <w:t>5.4.</w:t>
            </w:r>
            <w:r>
              <w:rPr>
                <w:b w:val="0"/>
                <w:bCs w:val="0"/>
                <w:kern w:val="2"/>
                <w:sz w:val="22"/>
                <w:szCs w:val="22"/>
                <w:lang w:val="en-IE" w:eastAsia="en-IE"/>
                <w14:ligatures w14:val="standardContextual"/>
              </w:rPr>
              <w:tab/>
            </w:r>
            <w:r w:rsidRPr="00C072A1">
              <w:rPr>
                <w:rStyle w:val="Hyperlink"/>
              </w:rPr>
              <w:t>Requirements related to the collection, storage and publishing of data</w:t>
            </w:r>
            <w:r>
              <w:rPr>
                <w:webHidden/>
              </w:rPr>
              <w:tab/>
            </w:r>
            <w:r>
              <w:rPr>
                <w:webHidden/>
              </w:rPr>
              <w:fldChar w:fldCharType="begin"/>
            </w:r>
            <w:r>
              <w:rPr>
                <w:webHidden/>
              </w:rPr>
              <w:instrText xml:space="preserve"> PAGEREF _Toc168350327 \h </w:instrText>
            </w:r>
            <w:r>
              <w:rPr>
                <w:webHidden/>
              </w:rPr>
            </w:r>
            <w:r>
              <w:rPr>
                <w:webHidden/>
              </w:rPr>
              <w:fldChar w:fldCharType="separate"/>
            </w:r>
            <w:r>
              <w:rPr>
                <w:webHidden/>
              </w:rPr>
              <w:t>45</w:t>
            </w:r>
            <w:r>
              <w:rPr>
                <w:webHidden/>
              </w:rPr>
              <w:fldChar w:fldCharType="end"/>
            </w:r>
          </w:hyperlink>
        </w:p>
        <w:p w14:paraId="2ED341DF" w14:textId="438D6D40" w:rsidR="00117CF8" w:rsidRDefault="00117CF8">
          <w:pPr>
            <w:pStyle w:val="TOC2"/>
            <w:rPr>
              <w:b w:val="0"/>
              <w:bCs w:val="0"/>
              <w:kern w:val="2"/>
              <w:sz w:val="22"/>
              <w:szCs w:val="22"/>
              <w:lang w:val="en-IE" w:eastAsia="en-IE"/>
              <w14:ligatures w14:val="standardContextual"/>
            </w:rPr>
          </w:pPr>
          <w:hyperlink w:anchor="_Toc168350328" w:history="1">
            <w:r w:rsidRPr="00C072A1">
              <w:rPr>
                <w:rStyle w:val="Hyperlink"/>
              </w:rPr>
              <w:t>5.5.</w:t>
            </w:r>
            <w:r>
              <w:rPr>
                <w:b w:val="0"/>
                <w:bCs w:val="0"/>
                <w:kern w:val="2"/>
                <w:sz w:val="22"/>
                <w:szCs w:val="22"/>
                <w:lang w:val="en-IE" w:eastAsia="en-IE"/>
                <w14:ligatures w14:val="standardContextual"/>
              </w:rPr>
              <w:tab/>
            </w:r>
            <w:r w:rsidRPr="00C072A1">
              <w:rPr>
                <w:rStyle w:val="Hyperlink"/>
              </w:rPr>
              <w:t>Simplified cost options and eligibility period</w:t>
            </w:r>
            <w:r>
              <w:rPr>
                <w:webHidden/>
              </w:rPr>
              <w:tab/>
            </w:r>
            <w:r>
              <w:rPr>
                <w:webHidden/>
              </w:rPr>
              <w:fldChar w:fldCharType="begin"/>
            </w:r>
            <w:r>
              <w:rPr>
                <w:webHidden/>
              </w:rPr>
              <w:instrText xml:space="preserve"> PAGEREF _Toc168350328 \h </w:instrText>
            </w:r>
            <w:r>
              <w:rPr>
                <w:webHidden/>
              </w:rPr>
            </w:r>
            <w:r>
              <w:rPr>
                <w:webHidden/>
              </w:rPr>
              <w:fldChar w:fldCharType="separate"/>
            </w:r>
            <w:r>
              <w:rPr>
                <w:webHidden/>
              </w:rPr>
              <w:t>45</w:t>
            </w:r>
            <w:r>
              <w:rPr>
                <w:webHidden/>
              </w:rPr>
              <w:fldChar w:fldCharType="end"/>
            </w:r>
          </w:hyperlink>
        </w:p>
        <w:p w14:paraId="7992CE37" w14:textId="45D914F0" w:rsidR="00117CF8" w:rsidRDefault="00117CF8">
          <w:pPr>
            <w:pStyle w:val="TOC1"/>
            <w:rPr>
              <w:noProof/>
              <w:kern w:val="2"/>
              <w:sz w:val="22"/>
              <w:szCs w:val="22"/>
              <w:lang w:val="en-IE" w:eastAsia="en-IE"/>
              <w14:ligatures w14:val="standardContextual"/>
            </w:rPr>
          </w:pPr>
          <w:hyperlink w:anchor="_Toc168350329" w:history="1">
            <w:r w:rsidRPr="00C072A1">
              <w:rPr>
                <w:rStyle w:val="Hyperlink"/>
                <w:b/>
                <w:bCs/>
                <w:noProof/>
              </w:rPr>
              <w:t>Chapter 6: Management verifications and audit</w:t>
            </w:r>
            <w:r>
              <w:rPr>
                <w:noProof/>
                <w:webHidden/>
              </w:rPr>
              <w:tab/>
            </w:r>
            <w:r>
              <w:rPr>
                <w:noProof/>
                <w:webHidden/>
              </w:rPr>
              <w:fldChar w:fldCharType="begin"/>
            </w:r>
            <w:r>
              <w:rPr>
                <w:noProof/>
                <w:webHidden/>
              </w:rPr>
              <w:instrText xml:space="preserve"> PAGEREF _Toc168350329 \h </w:instrText>
            </w:r>
            <w:r>
              <w:rPr>
                <w:noProof/>
                <w:webHidden/>
              </w:rPr>
            </w:r>
            <w:r>
              <w:rPr>
                <w:noProof/>
                <w:webHidden/>
              </w:rPr>
              <w:fldChar w:fldCharType="separate"/>
            </w:r>
            <w:r>
              <w:rPr>
                <w:noProof/>
                <w:webHidden/>
              </w:rPr>
              <w:t>47</w:t>
            </w:r>
            <w:r>
              <w:rPr>
                <w:noProof/>
                <w:webHidden/>
              </w:rPr>
              <w:fldChar w:fldCharType="end"/>
            </w:r>
          </w:hyperlink>
        </w:p>
        <w:p w14:paraId="0FFE1BC1" w14:textId="4007ADA1" w:rsidR="00117CF8" w:rsidRDefault="00117CF8">
          <w:pPr>
            <w:pStyle w:val="TOC2"/>
            <w:rPr>
              <w:b w:val="0"/>
              <w:bCs w:val="0"/>
              <w:kern w:val="2"/>
              <w:sz w:val="22"/>
              <w:szCs w:val="22"/>
              <w:lang w:val="en-IE" w:eastAsia="en-IE"/>
              <w14:ligatures w14:val="standardContextual"/>
            </w:rPr>
          </w:pPr>
          <w:hyperlink w:anchor="_Toc168350330" w:history="1">
            <w:r w:rsidRPr="00C072A1">
              <w:rPr>
                <w:rStyle w:val="Hyperlink"/>
              </w:rPr>
              <w:t>6.1.</w:t>
            </w:r>
            <w:r>
              <w:rPr>
                <w:b w:val="0"/>
                <w:bCs w:val="0"/>
                <w:kern w:val="2"/>
                <w:sz w:val="22"/>
                <w:szCs w:val="22"/>
                <w:lang w:val="en-IE" w:eastAsia="en-IE"/>
                <w14:ligatures w14:val="standardContextual"/>
              </w:rPr>
              <w:tab/>
            </w:r>
            <w:r w:rsidRPr="00C072A1">
              <w:rPr>
                <w:rStyle w:val="Hyperlink"/>
              </w:rPr>
              <w:t>General approach for management verifications and audit</w:t>
            </w:r>
            <w:r>
              <w:rPr>
                <w:webHidden/>
              </w:rPr>
              <w:tab/>
            </w:r>
            <w:r>
              <w:rPr>
                <w:webHidden/>
              </w:rPr>
              <w:fldChar w:fldCharType="begin"/>
            </w:r>
            <w:r>
              <w:rPr>
                <w:webHidden/>
              </w:rPr>
              <w:instrText xml:space="preserve"> PAGEREF _Toc168350330 \h </w:instrText>
            </w:r>
            <w:r>
              <w:rPr>
                <w:webHidden/>
              </w:rPr>
            </w:r>
            <w:r>
              <w:rPr>
                <w:webHidden/>
              </w:rPr>
              <w:fldChar w:fldCharType="separate"/>
            </w:r>
            <w:r>
              <w:rPr>
                <w:webHidden/>
              </w:rPr>
              <w:t>47</w:t>
            </w:r>
            <w:r>
              <w:rPr>
                <w:webHidden/>
              </w:rPr>
              <w:fldChar w:fldCharType="end"/>
            </w:r>
          </w:hyperlink>
        </w:p>
        <w:p w14:paraId="227B73B0" w14:textId="7EFD3118" w:rsidR="00117CF8" w:rsidRDefault="00117CF8">
          <w:pPr>
            <w:pStyle w:val="TOC2"/>
            <w:rPr>
              <w:b w:val="0"/>
              <w:bCs w:val="0"/>
              <w:kern w:val="2"/>
              <w:sz w:val="22"/>
              <w:szCs w:val="22"/>
              <w:lang w:val="en-IE" w:eastAsia="en-IE"/>
              <w14:ligatures w14:val="standardContextual"/>
            </w:rPr>
          </w:pPr>
          <w:hyperlink w:anchor="_Toc168350331" w:history="1">
            <w:r w:rsidRPr="00C072A1">
              <w:rPr>
                <w:rStyle w:val="Hyperlink"/>
              </w:rPr>
              <w:t>6.2.</w:t>
            </w:r>
            <w:r>
              <w:rPr>
                <w:b w:val="0"/>
                <w:bCs w:val="0"/>
                <w:kern w:val="2"/>
                <w:sz w:val="22"/>
                <w:szCs w:val="22"/>
                <w:lang w:val="en-IE" w:eastAsia="en-IE"/>
                <w14:ligatures w14:val="standardContextual"/>
              </w:rPr>
              <w:tab/>
            </w:r>
            <w:r w:rsidRPr="00C072A1">
              <w:rPr>
                <w:rStyle w:val="Hyperlink"/>
              </w:rPr>
              <w:t>Verification of the correct establishment of the methodology for the simplified cost option</w:t>
            </w:r>
            <w:r>
              <w:rPr>
                <w:webHidden/>
              </w:rPr>
              <w:tab/>
            </w:r>
            <w:r>
              <w:rPr>
                <w:webHidden/>
              </w:rPr>
              <w:fldChar w:fldCharType="begin"/>
            </w:r>
            <w:r>
              <w:rPr>
                <w:webHidden/>
              </w:rPr>
              <w:instrText xml:space="preserve"> PAGEREF _Toc168350331 \h </w:instrText>
            </w:r>
            <w:r>
              <w:rPr>
                <w:webHidden/>
              </w:rPr>
            </w:r>
            <w:r>
              <w:rPr>
                <w:webHidden/>
              </w:rPr>
              <w:fldChar w:fldCharType="separate"/>
            </w:r>
            <w:r>
              <w:rPr>
                <w:webHidden/>
              </w:rPr>
              <w:t>48</w:t>
            </w:r>
            <w:r>
              <w:rPr>
                <w:webHidden/>
              </w:rPr>
              <w:fldChar w:fldCharType="end"/>
            </w:r>
          </w:hyperlink>
        </w:p>
        <w:p w14:paraId="7511DFBB" w14:textId="603B8773" w:rsidR="00117CF8" w:rsidRDefault="00117CF8">
          <w:pPr>
            <w:pStyle w:val="TOC2"/>
            <w:rPr>
              <w:b w:val="0"/>
              <w:bCs w:val="0"/>
              <w:kern w:val="2"/>
              <w:sz w:val="22"/>
              <w:szCs w:val="22"/>
              <w:lang w:val="en-IE" w:eastAsia="en-IE"/>
              <w14:ligatures w14:val="standardContextual"/>
            </w:rPr>
          </w:pPr>
          <w:hyperlink w:anchor="_Toc168350332" w:history="1">
            <w:r w:rsidRPr="00C072A1">
              <w:rPr>
                <w:rStyle w:val="Hyperlink"/>
              </w:rPr>
              <w:t>6.3.</w:t>
            </w:r>
            <w:r>
              <w:rPr>
                <w:b w:val="0"/>
                <w:bCs w:val="0"/>
                <w:kern w:val="2"/>
                <w:sz w:val="22"/>
                <w:szCs w:val="22"/>
                <w:lang w:val="en-IE" w:eastAsia="en-IE"/>
                <w14:ligatures w14:val="standardContextual"/>
              </w:rPr>
              <w:tab/>
            </w:r>
            <w:r w:rsidRPr="00C072A1">
              <w:rPr>
                <w:rStyle w:val="Hyperlink"/>
              </w:rPr>
              <w:t>Verification of the correct application of the methodology</w:t>
            </w:r>
            <w:r>
              <w:rPr>
                <w:webHidden/>
              </w:rPr>
              <w:tab/>
            </w:r>
            <w:r>
              <w:rPr>
                <w:webHidden/>
              </w:rPr>
              <w:fldChar w:fldCharType="begin"/>
            </w:r>
            <w:r>
              <w:rPr>
                <w:webHidden/>
              </w:rPr>
              <w:instrText xml:space="preserve"> PAGEREF _Toc168350332 \h </w:instrText>
            </w:r>
            <w:r>
              <w:rPr>
                <w:webHidden/>
              </w:rPr>
            </w:r>
            <w:r>
              <w:rPr>
                <w:webHidden/>
              </w:rPr>
              <w:fldChar w:fldCharType="separate"/>
            </w:r>
            <w:r>
              <w:rPr>
                <w:webHidden/>
              </w:rPr>
              <w:t>49</w:t>
            </w:r>
            <w:r>
              <w:rPr>
                <w:webHidden/>
              </w:rPr>
              <w:fldChar w:fldCharType="end"/>
            </w:r>
          </w:hyperlink>
        </w:p>
        <w:p w14:paraId="49C0FCFF" w14:textId="0CF12BF2" w:rsidR="00117CF8" w:rsidRDefault="00117CF8">
          <w:pPr>
            <w:pStyle w:val="TOC3"/>
            <w:rPr>
              <w:noProof/>
              <w:kern w:val="2"/>
              <w:sz w:val="22"/>
              <w:szCs w:val="22"/>
              <w:lang w:val="en-IE" w:eastAsia="en-IE"/>
              <w14:ligatures w14:val="standardContextual"/>
            </w:rPr>
          </w:pPr>
          <w:hyperlink w:anchor="_Toc168350333" w:history="1">
            <w:r w:rsidRPr="00C072A1">
              <w:rPr>
                <w:rStyle w:val="Hyperlink"/>
                <w:noProof/>
              </w:rPr>
              <w:t xml:space="preserve">6.3.1. </w:t>
            </w:r>
            <w:r>
              <w:rPr>
                <w:noProof/>
                <w:kern w:val="2"/>
                <w:sz w:val="22"/>
                <w:szCs w:val="22"/>
                <w:lang w:val="en-IE" w:eastAsia="en-IE"/>
                <w14:ligatures w14:val="standardContextual"/>
              </w:rPr>
              <w:tab/>
            </w:r>
            <w:r w:rsidRPr="00C072A1">
              <w:rPr>
                <w:rStyle w:val="Hyperlink"/>
                <w:noProof/>
              </w:rPr>
              <w:t>Verification of the correct application of flat rates</w:t>
            </w:r>
            <w:r>
              <w:rPr>
                <w:noProof/>
                <w:webHidden/>
              </w:rPr>
              <w:tab/>
            </w:r>
            <w:r>
              <w:rPr>
                <w:noProof/>
                <w:webHidden/>
              </w:rPr>
              <w:fldChar w:fldCharType="begin"/>
            </w:r>
            <w:r>
              <w:rPr>
                <w:noProof/>
                <w:webHidden/>
              </w:rPr>
              <w:instrText xml:space="preserve"> PAGEREF _Toc168350333 \h </w:instrText>
            </w:r>
            <w:r>
              <w:rPr>
                <w:noProof/>
                <w:webHidden/>
              </w:rPr>
            </w:r>
            <w:r>
              <w:rPr>
                <w:noProof/>
                <w:webHidden/>
              </w:rPr>
              <w:fldChar w:fldCharType="separate"/>
            </w:r>
            <w:r>
              <w:rPr>
                <w:noProof/>
                <w:webHidden/>
              </w:rPr>
              <w:t>49</w:t>
            </w:r>
            <w:r>
              <w:rPr>
                <w:noProof/>
                <w:webHidden/>
              </w:rPr>
              <w:fldChar w:fldCharType="end"/>
            </w:r>
          </w:hyperlink>
        </w:p>
        <w:p w14:paraId="0BB6AA6A" w14:textId="45CDD157" w:rsidR="00117CF8" w:rsidRDefault="00117CF8">
          <w:pPr>
            <w:pStyle w:val="TOC3"/>
            <w:rPr>
              <w:noProof/>
              <w:kern w:val="2"/>
              <w:sz w:val="22"/>
              <w:szCs w:val="22"/>
              <w:lang w:val="en-IE" w:eastAsia="en-IE"/>
              <w14:ligatures w14:val="standardContextual"/>
            </w:rPr>
          </w:pPr>
          <w:hyperlink w:anchor="_Toc168350334" w:history="1">
            <w:r w:rsidRPr="00C072A1">
              <w:rPr>
                <w:rStyle w:val="Hyperlink"/>
                <w:noProof/>
              </w:rPr>
              <w:t xml:space="preserve">6.3.2. </w:t>
            </w:r>
            <w:r>
              <w:rPr>
                <w:noProof/>
                <w:kern w:val="2"/>
                <w:sz w:val="22"/>
                <w:szCs w:val="22"/>
                <w:lang w:val="en-IE" w:eastAsia="en-IE"/>
                <w14:ligatures w14:val="standardContextual"/>
              </w:rPr>
              <w:tab/>
            </w:r>
            <w:r w:rsidRPr="00C072A1">
              <w:rPr>
                <w:rStyle w:val="Hyperlink"/>
                <w:noProof/>
              </w:rPr>
              <w:t>Verification of the correct application of standard scales of unit costs</w:t>
            </w:r>
            <w:r>
              <w:rPr>
                <w:noProof/>
                <w:webHidden/>
              </w:rPr>
              <w:tab/>
            </w:r>
            <w:r>
              <w:rPr>
                <w:noProof/>
                <w:webHidden/>
              </w:rPr>
              <w:fldChar w:fldCharType="begin"/>
            </w:r>
            <w:r>
              <w:rPr>
                <w:noProof/>
                <w:webHidden/>
              </w:rPr>
              <w:instrText xml:space="preserve"> PAGEREF _Toc168350334 \h </w:instrText>
            </w:r>
            <w:r>
              <w:rPr>
                <w:noProof/>
                <w:webHidden/>
              </w:rPr>
            </w:r>
            <w:r>
              <w:rPr>
                <w:noProof/>
                <w:webHidden/>
              </w:rPr>
              <w:fldChar w:fldCharType="separate"/>
            </w:r>
            <w:r>
              <w:rPr>
                <w:noProof/>
                <w:webHidden/>
              </w:rPr>
              <w:t>50</w:t>
            </w:r>
            <w:r>
              <w:rPr>
                <w:noProof/>
                <w:webHidden/>
              </w:rPr>
              <w:fldChar w:fldCharType="end"/>
            </w:r>
          </w:hyperlink>
        </w:p>
        <w:p w14:paraId="79B46DEF" w14:textId="5A79D718" w:rsidR="00117CF8" w:rsidRDefault="00117CF8">
          <w:pPr>
            <w:pStyle w:val="TOC3"/>
            <w:rPr>
              <w:noProof/>
              <w:kern w:val="2"/>
              <w:sz w:val="22"/>
              <w:szCs w:val="22"/>
              <w:lang w:val="en-IE" w:eastAsia="en-IE"/>
              <w14:ligatures w14:val="standardContextual"/>
            </w:rPr>
          </w:pPr>
          <w:hyperlink w:anchor="_Toc168350335" w:history="1">
            <w:r w:rsidRPr="00C072A1">
              <w:rPr>
                <w:rStyle w:val="Hyperlink"/>
                <w:noProof/>
              </w:rPr>
              <w:t>6.3.3.</w:t>
            </w:r>
            <w:r>
              <w:rPr>
                <w:noProof/>
                <w:kern w:val="2"/>
                <w:sz w:val="22"/>
                <w:szCs w:val="22"/>
                <w:lang w:val="en-IE" w:eastAsia="en-IE"/>
                <w14:ligatures w14:val="standardContextual"/>
              </w:rPr>
              <w:tab/>
            </w:r>
            <w:r w:rsidRPr="00C072A1">
              <w:rPr>
                <w:rStyle w:val="Hyperlink"/>
                <w:noProof/>
              </w:rPr>
              <w:t>Verification of the correct application of lump sums</w:t>
            </w:r>
            <w:r>
              <w:rPr>
                <w:noProof/>
                <w:webHidden/>
              </w:rPr>
              <w:tab/>
            </w:r>
            <w:r>
              <w:rPr>
                <w:noProof/>
                <w:webHidden/>
              </w:rPr>
              <w:fldChar w:fldCharType="begin"/>
            </w:r>
            <w:r>
              <w:rPr>
                <w:noProof/>
                <w:webHidden/>
              </w:rPr>
              <w:instrText xml:space="preserve"> PAGEREF _Toc168350335 \h </w:instrText>
            </w:r>
            <w:r>
              <w:rPr>
                <w:noProof/>
                <w:webHidden/>
              </w:rPr>
            </w:r>
            <w:r>
              <w:rPr>
                <w:noProof/>
                <w:webHidden/>
              </w:rPr>
              <w:fldChar w:fldCharType="separate"/>
            </w:r>
            <w:r>
              <w:rPr>
                <w:noProof/>
                <w:webHidden/>
              </w:rPr>
              <w:t>51</w:t>
            </w:r>
            <w:r>
              <w:rPr>
                <w:noProof/>
                <w:webHidden/>
              </w:rPr>
              <w:fldChar w:fldCharType="end"/>
            </w:r>
          </w:hyperlink>
        </w:p>
        <w:p w14:paraId="19EA6A54" w14:textId="57E1739A" w:rsidR="00117CF8" w:rsidRDefault="00117CF8">
          <w:pPr>
            <w:pStyle w:val="TOC2"/>
            <w:rPr>
              <w:b w:val="0"/>
              <w:bCs w:val="0"/>
              <w:kern w:val="2"/>
              <w:sz w:val="22"/>
              <w:szCs w:val="22"/>
              <w:lang w:val="en-IE" w:eastAsia="en-IE"/>
              <w14:ligatures w14:val="standardContextual"/>
            </w:rPr>
          </w:pPr>
          <w:hyperlink w:anchor="_Toc168350336" w:history="1">
            <w:r w:rsidRPr="00C072A1">
              <w:rPr>
                <w:rStyle w:val="Hyperlink"/>
              </w:rPr>
              <w:t>6.4</w:t>
            </w:r>
            <w:r>
              <w:rPr>
                <w:b w:val="0"/>
                <w:bCs w:val="0"/>
                <w:kern w:val="2"/>
                <w:sz w:val="22"/>
                <w:szCs w:val="22"/>
                <w:lang w:val="en-IE" w:eastAsia="en-IE"/>
                <w14:ligatures w14:val="standardContextual"/>
              </w:rPr>
              <w:tab/>
            </w:r>
            <w:r w:rsidRPr="00C072A1">
              <w:rPr>
                <w:rStyle w:val="Hyperlink"/>
              </w:rPr>
              <w:t>Verification of absence of double financing when using SCOs</w:t>
            </w:r>
            <w:r>
              <w:rPr>
                <w:webHidden/>
              </w:rPr>
              <w:tab/>
            </w:r>
            <w:r>
              <w:rPr>
                <w:webHidden/>
              </w:rPr>
              <w:fldChar w:fldCharType="begin"/>
            </w:r>
            <w:r>
              <w:rPr>
                <w:webHidden/>
              </w:rPr>
              <w:instrText xml:space="preserve"> PAGEREF _Toc168350336 \h </w:instrText>
            </w:r>
            <w:r>
              <w:rPr>
                <w:webHidden/>
              </w:rPr>
            </w:r>
            <w:r>
              <w:rPr>
                <w:webHidden/>
              </w:rPr>
              <w:fldChar w:fldCharType="separate"/>
            </w:r>
            <w:r>
              <w:rPr>
                <w:webHidden/>
              </w:rPr>
              <w:t>52</w:t>
            </w:r>
            <w:r>
              <w:rPr>
                <w:webHidden/>
              </w:rPr>
              <w:fldChar w:fldCharType="end"/>
            </w:r>
          </w:hyperlink>
        </w:p>
        <w:p w14:paraId="50FDDFC6" w14:textId="2B4A56EA" w:rsidR="00117CF8" w:rsidRDefault="00117CF8">
          <w:pPr>
            <w:pStyle w:val="TOC2"/>
            <w:rPr>
              <w:b w:val="0"/>
              <w:bCs w:val="0"/>
              <w:kern w:val="2"/>
              <w:sz w:val="22"/>
              <w:szCs w:val="22"/>
              <w:lang w:val="en-IE" w:eastAsia="en-IE"/>
              <w14:ligatures w14:val="standardContextual"/>
            </w:rPr>
          </w:pPr>
          <w:hyperlink w:anchor="_Toc168350337" w:history="1">
            <w:r w:rsidRPr="00C072A1">
              <w:rPr>
                <w:rStyle w:val="Hyperlink"/>
              </w:rPr>
              <w:t>6.5.</w:t>
            </w:r>
            <w:r>
              <w:rPr>
                <w:b w:val="0"/>
                <w:bCs w:val="0"/>
                <w:kern w:val="2"/>
                <w:sz w:val="22"/>
                <w:szCs w:val="22"/>
                <w:lang w:val="en-IE" w:eastAsia="en-IE"/>
                <w14:ligatures w14:val="standardContextual"/>
              </w:rPr>
              <w:tab/>
            </w:r>
            <w:r w:rsidRPr="00C072A1">
              <w:rPr>
                <w:rStyle w:val="Hyperlink"/>
              </w:rPr>
              <w:t>Verification of compliance with State aid rules in case of using simplified cost options as form of reimbursement</w:t>
            </w:r>
            <w:r>
              <w:rPr>
                <w:webHidden/>
              </w:rPr>
              <w:tab/>
            </w:r>
            <w:r>
              <w:rPr>
                <w:webHidden/>
              </w:rPr>
              <w:fldChar w:fldCharType="begin"/>
            </w:r>
            <w:r>
              <w:rPr>
                <w:webHidden/>
              </w:rPr>
              <w:instrText xml:space="preserve"> PAGEREF _Toc168350337 \h </w:instrText>
            </w:r>
            <w:r>
              <w:rPr>
                <w:webHidden/>
              </w:rPr>
            </w:r>
            <w:r>
              <w:rPr>
                <w:webHidden/>
              </w:rPr>
              <w:fldChar w:fldCharType="separate"/>
            </w:r>
            <w:r>
              <w:rPr>
                <w:webHidden/>
              </w:rPr>
              <w:t>53</w:t>
            </w:r>
            <w:r>
              <w:rPr>
                <w:webHidden/>
              </w:rPr>
              <w:fldChar w:fldCharType="end"/>
            </w:r>
          </w:hyperlink>
        </w:p>
        <w:p w14:paraId="367E7ECE" w14:textId="2819DEBD" w:rsidR="00117CF8" w:rsidRDefault="00117CF8">
          <w:pPr>
            <w:pStyle w:val="TOC2"/>
            <w:rPr>
              <w:b w:val="0"/>
              <w:bCs w:val="0"/>
              <w:kern w:val="2"/>
              <w:sz w:val="22"/>
              <w:szCs w:val="22"/>
              <w:lang w:val="en-IE" w:eastAsia="en-IE"/>
              <w14:ligatures w14:val="standardContextual"/>
            </w:rPr>
          </w:pPr>
          <w:hyperlink w:anchor="_Toc168350338" w:history="1">
            <w:r w:rsidRPr="00C072A1">
              <w:rPr>
                <w:rStyle w:val="Hyperlink"/>
              </w:rPr>
              <w:t>6.6.</w:t>
            </w:r>
            <w:r>
              <w:rPr>
                <w:b w:val="0"/>
                <w:bCs w:val="0"/>
                <w:kern w:val="2"/>
                <w:sz w:val="22"/>
                <w:szCs w:val="22"/>
                <w:lang w:val="en-IE" w:eastAsia="en-IE"/>
                <w14:ligatures w14:val="standardContextual"/>
              </w:rPr>
              <w:tab/>
            </w:r>
            <w:r w:rsidRPr="00C072A1">
              <w:rPr>
                <w:rStyle w:val="Hyperlink"/>
              </w:rPr>
              <w:t>Fraud cases and irregularities</w:t>
            </w:r>
            <w:r>
              <w:rPr>
                <w:webHidden/>
              </w:rPr>
              <w:tab/>
            </w:r>
            <w:r>
              <w:rPr>
                <w:webHidden/>
              </w:rPr>
              <w:fldChar w:fldCharType="begin"/>
            </w:r>
            <w:r>
              <w:rPr>
                <w:webHidden/>
              </w:rPr>
              <w:instrText xml:space="preserve"> PAGEREF _Toc168350338 \h </w:instrText>
            </w:r>
            <w:r>
              <w:rPr>
                <w:webHidden/>
              </w:rPr>
            </w:r>
            <w:r>
              <w:rPr>
                <w:webHidden/>
              </w:rPr>
              <w:fldChar w:fldCharType="separate"/>
            </w:r>
            <w:r>
              <w:rPr>
                <w:webHidden/>
              </w:rPr>
              <w:t>54</w:t>
            </w:r>
            <w:r>
              <w:rPr>
                <w:webHidden/>
              </w:rPr>
              <w:fldChar w:fldCharType="end"/>
            </w:r>
          </w:hyperlink>
        </w:p>
        <w:p w14:paraId="2DD37071" w14:textId="276F6ABD" w:rsidR="00117CF8" w:rsidRDefault="00117CF8">
          <w:pPr>
            <w:pStyle w:val="TOC2"/>
            <w:rPr>
              <w:b w:val="0"/>
              <w:bCs w:val="0"/>
              <w:kern w:val="2"/>
              <w:sz w:val="22"/>
              <w:szCs w:val="22"/>
              <w:lang w:val="en-IE" w:eastAsia="en-IE"/>
              <w14:ligatures w14:val="standardContextual"/>
            </w:rPr>
          </w:pPr>
          <w:hyperlink w:anchor="_Toc168350339" w:history="1">
            <w:r w:rsidRPr="00C072A1">
              <w:rPr>
                <w:rStyle w:val="Hyperlink"/>
              </w:rPr>
              <w:t xml:space="preserve">6.7 </w:t>
            </w:r>
            <w:r>
              <w:rPr>
                <w:b w:val="0"/>
                <w:bCs w:val="0"/>
                <w:kern w:val="2"/>
                <w:sz w:val="22"/>
                <w:szCs w:val="22"/>
                <w:lang w:val="en-IE" w:eastAsia="en-IE"/>
                <w14:ligatures w14:val="standardContextual"/>
              </w:rPr>
              <w:tab/>
            </w:r>
            <w:r w:rsidRPr="00C072A1">
              <w:rPr>
                <w:rStyle w:val="Hyperlink"/>
              </w:rPr>
              <w:t>Potential errors or irregularities linked to the use of simplified cost options</w:t>
            </w:r>
            <w:r>
              <w:rPr>
                <w:webHidden/>
              </w:rPr>
              <w:tab/>
            </w:r>
            <w:r>
              <w:rPr>
                <w:webHidden/>
              </w:rPr>
              <w:fldChar w:fldCharType="begin"/>
            </w:r>
            <w:r>
              <w:rPr>
                <w:webHidden/>
              </w:rPr>
              <w:instrText xml:space="preserve"> PAGEREF _Toc168350339 \h </w:instrText>
            </w:r>
            <w:r>
              <w:rPr>
                <w:webHidden/>
              </w:rPr>
            </w:r>
            <w:r>
              <w:rPr>
                <w:webHidden/>
              </w:rPr>
              <w:fldChar w:fldCharType="separate"/>
            </w:r>
            <w:r>
              <w:rPr>
                <w:webHidden/>
              </w:rPr>
              <w:t>54</w:t>
            </w:r>
            <w:r>
              <w:rPr>
                <w:webHidden/>
              </w:rPr>
              <w:fldChar w:fldCharType="end"/>
            </w:r>
          </w:hyperlink>
        </w:p>
        <w:p w14:paraId="238D5D18" w14:textId="7340BF42" w:rsidR="00117CF8" w:rsidRDefault="00117CF8">
          <w:pPr>
            <w:pStyle w:val="TOC1"/>
            <w:rPr>
              <w:noProof/>
              <w:kern w:val="2"/>
              <w:sz w:val="22"/>
              <w:szCs w:val="22"/>
              <w:lang w:val="en-IE" w:eastAsia="en-IE"/>
              <w14:ligatures w14:val="standardContextual"/>
            </w:rPr>
          </w:pPr>
          <w:hyperlink w:anchor="_Toc168350340" w:history="1">
            <w:r w:rsidRPr="00C072A1">
              <w:rPr>
                <w:rStyle w:val="Hyperlink"/>
                <w:noProof/>
              </w:rPr>
              <w:t>Annex 1: Examples of simplified cost options</w:t>
            </w:r>
            <w:r>
              <w:rPr>
                <w:noProof/>
                <w:webHidden/>
              </w:rPr>
              <w:tab/>
            </w:r>
            <w:r>
              <w:rPr>
                <w:noProof/>
                <w:webHidden/>
              </w:rPr>
              <w:fldChar w:fldCharType="begin"/>
            </w:r>
            <w:r>
              <w:rPr>
                <w:noProof/>
                <w:webHidden/>
              </w:rPr>
              <w:instrText xml:space="preserve"> PAGEREF _Toc168350340 \h </w:instrText>
            </w:r>
            <w:r>
              <w:rPr>
                <w:noProof/>
                <w:webHidden/>
              </w:rPr>
            </w:r>
            <w:r>
              <w:rPr>
                <w:noProof/>
                <w:webHidden/>
              </w:rPr>
              <w:fldChar w:fldCharType="separate"/>
            </w:r>
            <w:r>
              <w:rPr>
                <w:noProof/>
                <w:webHidden/>
              </w:rPr>
              <w:t>57</w:t>
            </w:r>
            <w:r>
              <w:rPr>
                <w:noProof/>
                <w:webHidden/>
              </w:rPr>
              <w:fldChar w:fldCharType="end"/>
            </w:r>
          </w:hyperlink>
        </w:p>
        <w:p w14:paraId="0139247C" w14:textId="741C0FA6" w:rsidR="00117CF8" w:rsidRDefault="00117CF8">
          <w:pPr>
            <w:pStyle w:val="TOC1"/>
            <w:rPr>
              <w:noProof/>
              <w:kern w:val="2"/>
              <w:sz w:val="22"/>
              <w:szCs w:val="22"/>
              <w:lang w:val="en-IE" w:eastAsia="en-IE"/>
              <w14:ligatures w14:val="standardContextual"/>
            </w:rPr>
          </w:pPr>
          <w:hyperlink w:anchor="_Toc168350341" w:history="1">
            <w:r w:rsidRPr="00C072A1">
              <w:rPr>
                <w:rStyle w:val="Hyperlink"/>
                <w:noProof/>
              </w:rPr>
              <w:t>Annex 2: How to fill in Appendix 1 of Annex V and VI CPR</w:t>
            </w:r>
            <w:r>
              <w:rPr>
                <w:noProof/>
                <w:webHidden/>
              </w:rPr>
              <w:tab/>
            </w:r>
            <w:r>
              <w:rPr>
                <w:noProof/>
                <w:webHidden/>
              </w:rPr>
              <w:fldChar w:fldCharType="begin"/>
            </w:r>
            <w:r>
              <w:rPr>
                <w:noProof/>
                <w:webHidden/>
              </w:rPr>
              <w:instrText xml:space="preserve"> PAGEREF _Toc168350341 \h </w:instrText>
            </w:r>
            <w:r>
              <w:rPr>
                <w:noProof/>
                <w:webHidden/>
              </w:rPr>
            </w:r>
            <w:r>
              <w:rPr>
                <w:noProof/>
                <w:webHidden/>
              </w:rPr>
              <w:fldChar w:fldCharType="separate"/>
            </w:r>
            <w:r>
              <w:rPr>
                <w:noProof/>
                <w:webHidden/>
              </w:rPr>
              <w:t>64</w:t>
            </w:r>
            <w:r>
              <w:rPr>
                <w:noProof/>
                <w:webHidden/>
              </w:rPr>
              <w:fldChar w:fldCharType="end"/>
            </w:r>
          </w:hyperlink>
        </w:p>
        <w:p w14:paraId="08395675" w14:textId="579FB479" w:rsidR="00117CF8" w:rsidRDefault="00117CF8">
          <w:pPr>
            <w:pStyle w:val="TOC1"/>
            <w:rPr>
              <w:noProof/>
              <w:kern w:val="2"/>
              <w:sz w:val="22"/>
              <w:szCs w:val="22"/>
              <w:lang w:val="en-IE" w:eastAsia="en-IE"/>
              <w14:ligatures w14:val="standardContextual"/>
            </w:rPr>
          </w:pPr>
          <w:hyperlink w:anchor="_Toc168350342" w:history="1">
            <w:r w:rsidRPr="00C072A1">
              <w:rPr>
                <w:rStyle w:val="Hyperlink"/>
                <w:noProof/>
              </w:rPr>
              <w:t>Annex 3: Example of SCOs’ compatibility with State aid rules</w:t>
            </w:r>
            <w:r>
              <w:rPr>
                <w:noProof/>
                <w:webHidden/>
              </w:rPr>
              <w:tab/>
            </w:r>
            <w:r>
              <w:rPr>
                <w:noProof/>
                <w:webHidden/>
              </w:rPr>
              <w:fldChar w:fldCharType="begin"/>
            </w:r>
            <w:r>
              <w:rPr>
                <w:noProof/>
                <w:webHidden/>
              </w:rPr>
              <w:instrText xml:space="preserve"> PAGEREF _Toc168350342 \h </w:instrText>
            </w:r>
            <w:r>
              <w:rPr>
                <w:noProof/>
                <w:webHidden/>
              </w:rPr>
            </w:r>
            <w:r>
              <w:rPr>
                <w:noProof/>
                <w:webHidden/>
              </w:rPr>
              <w:fldChar w:fldCharType="separate"/>
            </w:r>
            <w:r>
              <w:rPr>
                <w:noProof/>
                <w:webHidden/>
              </w:rPr>
              <w:t>65</w:t>
            </w:r>
            <w:r>
              <w:rPr>
                <w:noProof/>
                <w:webHidden/>
              </w:rPr>
              <w:fldChar w:fldCharType="end"/>
            </w:r>
          </w:hyperlink>
        </w:p>
        <w:p w14:paraId="536EB466" w14:textId="1AB67CD5" w:rsidR="001E7513" w:rsidRDefault="001E7513" w:rsidP="00B32403">
          <w:r>
            <w:rPr>
              <w:noProof/>
              <w:color w:val="2B579A"/>
              <w:shd w:val="clear" w:color="auto" w:fill="E6E6E6"/>
            </w:rPr>
            <w:fldChar w:fldCharType="end"/>
          </w:r>
        </w:p>
      </w:sdtContent>
    </w:sdt>
    <w:p w14:paraId="5CB872CA" w14:textId="721F8ABF" w:rsidR="00CD67A6" w:rsidRDefault="001E7513" w:rsidP="00B32403">
      <w:r>
        <w:br w:type="page"/>
      </w:r>
    </w:p>
    <w:p w14:paraId="27FA800B" w14:textId="134E9C23" w:rsidR="00240B82" w:rsidRPr="00240B82" w:rsidRDefault="00240B82" w:rsidP="00240B82">
      <w:pPr>
        <w:spacing w:before="300" w:after="40"/>
        <w:jc w:val="left"/>
        <w:outlineLvl w:val="0"/>
        <w:rPr>
          <w:smallCaps/>
          <w:spacing w:val="5"/>
          <w:sz w:val="28"/>
          <w:szCs w:val="28"/>
        </w:rPr>
      </w:pPr>
      <w:bookmarkStart w:id="0" w:name="_Toc168350285"/>
      <w:r w:rsidRPr="00240B82">
        <w:rPr>
          <w:smallCaps/>
          <w:spacing w:val="5"/>
          <w:sz w:val="28"/>
          <w:szCs w:val="28"/>
        </w:rPr>
        <w:lastRenderedPageBreak/>
        <w:t>List of acronyms</w:t>
      </w:r>
    </w:p>
    <w:p w14:paraId="30750EF5" w14:textId="4324CF4D" w:rsidR="00240B82" w:rsidRPr="00240B82" w:rsidRDefault="00240B82" w:rsidP="00240B82">
      <w:r>
        <w:t>Under preparation</w:t>
      </w:r>
    </w:p>
    <w:p w14:paraId="1A57F000" w14:textId="77777777" w:rsidR="00F11066" w:rsidRDefault="00F11066">
      <w:pPr>
        <w:spacing w:before="0" w:after="200"/>
        <w:rPr>
          <w:smallCaps/>
          <w:spacing w:val="5"/>
          <w:sz w:val="32"/>
          <w:szCs w:val="32"/>
        </w:rPr>
      </w:pPr>
      <w:r>
        <w:br w:type="page"/>
      </w:r>
    </w:p>
    <w:p w14:paraId="407C9CBE" w14:textId="04DFD76C" w:rsidR="00D24D7A" w:rsidRPr="00240B82" w:rsidRDefault="00340F15" w:rsidP="00B32403">
      <w:pPr>
        <w:pStyle w:val="Heading1"/>
        <w:rPr>
          <w:b/>
          <w:bCs/>
        </w:rPr>
      </w:pPr>
      <w:r w:rsidRPr="00240B82">
        <w:rPr>
          <w:b/>
          <w:bCs/>
        </w:rPr>
        <w:t>Preamble</w:t>
      </w:r>
      <w:bookmarkEnd w:id="0"/>
    </w:p>
    <w:p w14:paraId="13052E37" w14:textId="49716E56" w:rsidR="00DF27A4" w:rsidRPr="00DF27A4" w:rsidRDefault="00DF27A4" w:rsidP="00B32403">
      <w:r w:rsidRPr="00DF27A4">
        <w:t xml:space="preserve">This document provides technical guidance on costs declared </w:t>
      </w:r>
      <w:proofErr w:type="gramStart"/>
      <w:r w:rsidRPr="00DF27A4">
        <w:t>on the basis of</w:t>
      </w:r>
      <w:proofErr w:type="gramEnd"/>
      <w:r w:rsidRPr="00DF27A4">
        <w:t xml:space="preserve"> </w:t>
      </w:r>
      <w:r w:rsidR="006311F7">
        <w:t>unit costs, l</w:t>
      </w:r>
      <w:r w:rsidR="5371E17A">
        <w:t>u</w:t>
      </w:r>
      <w:r w:rsidR="006311F7">
        <w:t xml:space="preserve">mp sums and </w:t>
      </w:r>
      <w:r w:rsidRPr="00DF27A4">
        <w:t>flat</w:t>
      </w:r>
      <w:r w:rsidR="006311F7">
        <w:t>-</w:t>
      </w:r>
      <w:r w:rsidRPr="00DF27A4">
        <w:t>rate</w:t>
      </w:r>
      <w:r w:rsidR="006311F7">
        <w:t xml:space="preserve"> financing </w:t>
      </w:r>
      <w:r w:rsidRPr="00DF27A4">
        <w:t xml:space="preserve">(hereinafter referred to as simplified cost options) applicable to the Funds covered by Regulation (EU) 2021/1060 </w:t>
      </w:r>
      <w:r w:rsidR="00683D8A">
        <w:rPr>
          <w:rStyle w:val="FootnoteReference"/>
        </w:rPr>
        <w:footnoteReference w:id="2"/>
      </w:r>
      <w:r w:rsidRPr="00DF27A4">
        <w:t xml:space="preserve">(Common Provisions Regulation – </w:t>
      </w:r>
      <w:r w:rsidR="006311F7">
        <w:t xml:space="preserve">hereinafter referred to as </w:t>
      </w:r>
      <w:r w:rsidRPr="00DF27A4">
        <w:t>‘CPR’) and aims at sharing good practices with a view to encouraging Member States to use them. It covers the possibilities offered by the legal framework</w:t>
      </w:r>
      <w:r>
        <w:t xml:space="preserve"> of</w:t>
      </w:r>
      <w:r w:rsidRPr="00DF27A4">
        <w:t xml:space="preserve"> the CPR for the 2021-2027 programming period and </w:t>
      </w:r>
      <w:proofErr w:type="gramStart"/>
      <w:r w:rsidRPr="00DF27A4">
        <w:t>takes into account</w:t>
      </w:r>
      <w:proofErr w:type="gramEnd"/>
      <w:r w:rsidRPr="00DF27A4">
        <w:t xml:space="preserve"> legislative changes introduced by Regulation (EU) 2021/1060 vis-à-vis the 2014-2020 programming period, in particular, the possibility of reimbursing the Union contribution to a programme in the form of simplified cost options.</w:t>
      </w:r>
    </w:p>
    <w:p w14:paraId="48CA9FAA" w14:textId="4F7970C3" w:rsidR="00DF27A4" w:rsidRPr="00DF27A4" w:rsidRDefault="00DF27A4" w:rsidP="00B32403">
      <w:r w:rsidRPr="00DF27A4">
        <w:t xml:space="preserve">Following the entry into force of Regulation (EU) 2021/1060, the guidance covers the reimbursement of the grants provided to beneficiaries by the Member State in the form of simplified cost options according to Article 53(1)(b), (c) and (d) CPR, as well as the reimbursement of the Union contribution to a programme in the form of simplified cost options according to Article 51(c), (d) and (e) CPR. </w:t>
      </w:r>
    </w:p>
    <w:p w14:paraId="3BEA2207" w14:textId="025BBB32" w:rsidR="007276D0" w:rsidRDefault="00DF27A4" w:rsidP="00B32403">
      <w:r w:rsidRPr="00DF27A4">
        <w:t>This guidance also includes further clarifications based on questions posed by Member States and stakeholders that relate or are relevant for the 2021-2027 programming period.</w:t>
      </w:r>
    </w:p>
    <w:p w14:paraId="3AD46CB9" w14:textId="6C96671D" w:rsidR="00DF27A4" w:rsidRPr="00DF27A4" w:rsidRDefault="007276D0" w:rsidP="00B32403">
      <w:r>
        <w:br w:type="page"/>
      </w:r>
    </w:p>
    <w:p w14:paraId="12299A73" w14:textId="0544ED90" w:rsidR="001171AC" w:rsidRPr="002B63BA" w:rsidRDefault="001171AC" w:rsidP="00B32403">
      <w:pPr>
        <w:pStyle w:val="Heading1"/>
        <w:rPr>
          <w:b/>
          <w:bCs/>
        </w:rPr>
      </w:pPr>
      <w:bookmarkStart w:id="1" w:name="_Toc168350286"/>
      <w:r w:rsidRPr="002B63BA">
        <w:rPr>
          <w:b/>
          <w:bCs/>
        </w:rPr>
        <w:lastRenderedPageBreak/>
        <w:t xml:space="preserve">Chapter 1: </w:t>
      </w:r>
      <w:r w:rsidR="0083563A" w:rsidRPr="002B63BA">
        <w:rPr>
          <w:b/>
          <w:bCs/>
        </w:rPr>
        <w:t>Introduction to simplified cost options</w:t>
      </w:r>
      <w:bookmarkEnd w:id="1"/>
    </w:p>
    <w:p w14:paraId="1645F040" w14:textId="1324A0E8" w:rsidR="001171AC" w:rsidRPr="002B63BA" w:rsidRDefault="001171AC" w:rsidP="00B32403">
      <w:pPr>
        <w:pStyle w:val="Heading2"/>
        <w:numPr>
          <w:ilvl w:val="1"/>
          <w:numId w:val="6"/>
        </w:numPr>
        <w:rPr>
          <w:b/>
          <w:bCs/>
          <w:color w:val="4472C4" w:themeColor="accent1"/>
        </w:rPr>
      </w:pPr>
      <w:bookmarkStart w:id="2" w:name="_Toc168350287"/>
      <w:r w:rsidRPr="002B63BA">
        <w:rPr>
          <w:b/>
          <w:bCs/>
          <w:color w:val="4472C4" w:themeColor="accent1"/>
        </w:rPr>
        <w:t>What are simplified cost options and why use them?</w:t>
      </w:r>
      <w:bookmarkEnd w:id="2"/>
    </w:p>
    <w:p w14:paraId="1356D7DF" w14:textId="4108517B" w:rsidR="002B5EB6" w:rsidRDefault="470F1A47" w:rsidP="00B32403">
      <w:r>
        <w:t xml:space="preserve">Simplified cost options are amounts or percentages, defined ex ante, that represent the best possible approximation of actual (real) eligible costs incurred in practice when implementing an action. Therefore, they are an alternative method for reimbursing the eligible costs of an operation opposed to the traditional method where costs actually incurred by the beneficiary and paid (Article 53(1)(a) CPR, hereinafter referred to as “real costs”) are reimbursed. </w:t>
      </w:r>
    </w:p>
    <w:p w14:paraId="3323EDDA" w14:textId="19340977" w:rsidR="002B5EB6" w:rsidRDefault="00193221" w:rsidP="00342E45">
      <w:pPr>
        <w:ind w:left="851"/>
      </w:pPr>
      <w:r>
        <w:rPr>
          <w:noProof/>
          <w:color w:val="2B579A"/>
          <w:shd w:val="clear" w:color="auto" w:fill="E6E6E6"/>
        </w:rPr>
        <w:drawing>
          <wp:anchor distT="0" distB="0" distL="114300" distR="114300" simplePos="0" relativeHeight="251585024" behindDoc="1" locked="0" layoutInCell="1" allowOverlap="1" wp14:anchorId="47B3E48F" wp14:editId="31DB2E91">
            <wp:simplePos x="0" y="0"/>
            <wp:positionH relativeFrom="margin">
              <wp:posOffset>-7951</wp:posOffset>
            </wp:positionH>
            <wp:positionV relativeFrom="paragraph">
              <wp:posOffset>81529</wp:posOffset>
            </wp:positionV>
            <wp:extent cx="438150" cy="438150"/>
            <wp:effectExtent l="0" t="0" r="0" b="0"/>
            <wp:wrapSquare wrapText="bothSides"/>
            <wp:docPr id="5" name="Graphic 5" descr="Books on shelf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Books on shelf outline"/>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38150" cy="438150"/>
                    </a:xfrm>
                    <a:prstGeom prst="rect">
                      <a:avLst/>
                    </a:prstGeom>
                  </pic:spPr>
                </pic:pic>
              </a:graphicData>
            </a:graphic>
            <wp14:sizeRelH relativeFrom="margin">
              <wp14:pctWidth>0</wp14:pctWidth>
            </wp14:sizeRelH>
            <wp14:sizeRelV relativeFrom="margin">
              <wp14:pctHeight>0</wp14:pctHeight>
            </wp14:sizeRelV>
          </wp:anchor>
        </w:drawing>
      </w:r>
      <w:r w:rsidR="2D8B8F22" w:rsidRPr="00683D8A">
        <w:t>With simplified cost options</w:t>
      </w:r>
      <w:r w:rsidR="2D8B8F22" w:rsidRPr="0099722C">
        <w:t xml:space="preserve">, </w:t>
      </w:r>
      <w:r w:rsidR="2D8B8F22" w:rsidRPr="1AD100A2">
        <w:rPr>
          <w:rFonts w:eastAsiaTheme="majorEastAsia"/>
        </w:rPr>
        <w:t>the tracing of every euro of co-financed expenditure to individual supporting documents is no longer required</w:t>
      </w:r>
      <w:r w:rsidR="735F21E3" w:rsidRPr="00683D8A">
        <w:t>;</w:t>
      </w:r>
      <w:r w:rsidR="2D8B8F22" w:rsidRPr="00683D8A">
        <w:t xml:space="preserve"> </w:t>
      </w:r>
      <w:r w:rsidR="0E123DE8" w:rsidRPr="00683D8A">
        <w:t xml:space="preserve">the use of SCOs </w:t>
      </w:r>
      <w:r w:rsidR="2D8B8F22" w:rsidRPr="00683D8A">
        <w:t xml:space="preserve">significantly </w:t>
      </w:r>
      <w:r w:rsidR="2D8B8F22" w:rsidRPr="1AD100A2">
        <w:rPr>
          <w:rFonts w:eastAsiaTheme="majorEastAsia"/>
        </w:rPr>
        <w:t>alleviates the administrative costs and burden for managing authorities and for beneficiaries</w:t>
      </w:r>
      <w:r w:rsidR="2D8B8F22" w:rsidRPr="1AD100A2">
        <w:rPr>
          <w:rFonts w:eastAsiaTheme="majorEastAsia"/>
          <w:sz w:val="22"/>
          <w:szCs w:val="22"/>
        </w:rPr>
        <w:t>.</w:t>
      </w:r>
      <w:r w:rsidR="2D8B8F22" w:rsidRPr="00683D8A">
        <w:t xml:space="preserve"> </w:t>
      </w:r>
    </w:p>
    <w:p w14:paraId="50EF9DF1" w14:textId="3E35C5B4" w:rsidR="002B5EB6" w:rsidRDefault="00193221" w:rsidP="00B32403">
      <w:r>
        <w:rPr>
          <w:noProof/>
          <w:color w:val="2B579A"/>
          <w:shd w:val="clear" w:color="auto" w:fill="E6E6E6"/>
        </w:rPr>
        <w:drawing>
          <wp:anchor distT="0" distB="0" distL="114300" distR="114300" simplePos="0" relativeHeight="251694592" behindDoc="1" locked="0" layoutInCell="1" allowOverlap="1" wp14:anchorId="77B99328" wp14:editId="12FB8142">
            <wp:simplePos x="0" y="0"/>
            <wp:positionH relativeFrom="margin">
              <wp:align>left</wp:align>
            </wp:positionH>
            <wp:positionV relativeFrom="paragraph">
              <wp:posOffset>36802</wp:posOffset>
            </wp:positionV>
            <wp:extent cx="457200" cy="457200"/>
            <wp:effectExtent l="0" t="0" r="0" b="0"/>
            <wp:wrapSquare wrapText="bothSides"/>
            <wp:docPr id="6" name="Graphic 6" descr="Bullsey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Bullseye outlin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457200" cy="457200"/>
                    </a:xfrm>
                    <a:prstGeom prst="rect">
                      <a:avLst/>
                    </a:prstGeom>
                  </pic:spPr>
                </pic:pic>
              </a:graphicData>
            </a:graphic>
            <wp14:sizeRelH relativeFrom="margin">
              <wp14:pctWidth>0</wp14:pctWidth>
            </wp14:sizeRelH>
            <wp14:sizeRelV relativeFrom="margin">
              <wp14:pctHeight>0</wp14:pctHeight>
            </wp14:sizeRelV>
          </wp:anchor>
        </w:drawing>
      </w:r>
      <w:r w:rsidR="002B5EB6" w:rsidRPr="00683D8A">
        <w:t xml:space="preserve">Using simplified cost options means that the human resources and administrative efforts involved in the management of the CPR Funds can </w:t>
      </w:r>
      <w:r w:rsidR="002B5EB6" w:rsidRPr="0023581C">
        <w:rPr>
          <w:b/>
          <w:bCs/>
          <w:color w:val="4472C4" w:themeColor="accent1"/>
        </w:rPr>
        <w:t>focus on the achievement of policy objectives</w:t>
      </w:r>
      <w:r w:rsidR="002B5EB6" w:rsidRPr="00683D8A">
        <w:t xml:space="preserve"> as less resources are needed for collecting and verifying (financial) documents.</w:t>
      </w:r>
    </w:p>
    <w:p w14:paraId="51FCEE9E" w14:textId="053C3203" w:rsidR="00683D8A" w:rsidRPr="00683D8A" w:rsidRDefault="00193221" w:rsidP="59168D73">
      <w:r>
        <w:rPr>
          <w:noProof/>
          <w:color w:val="2B579A"/>
          <w:shd w:val="clear" w:color="auto" w:fill="E6E6E6"/>
        </w:rPr>
        <w:drawing>
          <wp:anchor distT="0" distB="0" distL="114300" distR="114300" simplePos="0" relativeHeight="251698688" behindDoc="1" locked="0" layoutInCell="1" allowOverlap="1" wp14:anchorId="42323EC6" wp14:editId="2349828A">
            <wp:simplePos x="0" y="0"/>
            <wp:positionH relativeFrom="margin">
              <wp:posOffset>47376</wp:posOffset>
            </wp:positionH>
            <wp:positionV relativeFrom="paragraph">
              <wp:posOffset>65101</wp:posOffset>
            </wp:positionV>
            <wp:extent cx="371475" cy="371475"/>
            <wp:effectExtent l="0" t="0" r="9525" b="9525"/>
            <wp:wrapSquare wrapText="bothSides"/>
            <wp:docPr id="3" name="Graphic 3" descr="Coins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descr="Coins outline"/>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371475" cy="371475"/>
                    </a:xfrm>
                    <a:prstGeom prst="rect">
                      <a:avLst/>
                    </a:prstGeom>
                  </pic:spPr>
                </pic:pic>
              </a:graphicData>
            </a:graphic>
            <wp14:sizeRelH relativeFrom="margin">
              <wp14:pctWidth>0</wp14:pctWidth>
            </wp14:sizeRelH>
            <wp14:sizeRelV relativeFrom="margin">
              <wp14:pctHeight>0</wp14:pctHeight>
            </wp14:sizeRelV>
          </wp:anchor>
        </w:drawing>
      </w:r>
      <w:r w:rsidR="118A297B">
        <w:t xml:space="preserve">Simplified cost options </w:t>
      </w:r>
      <w:r w:rsidR="50E8BEBC" w:rsidRPr="00683D8A">
        <w:t xml:space="preserve">also </w:t>
      </w:r>
      <w:r w:rsidR="50E8BEBC" w:rsidRPr="0023581C">
        <w:rPr>
          <w:b/>
          <w:bCs/>
          <w:color w:val="4472C4" w:themeColor="accent1"/>
        </w:rPr>
        <w:t>facilitate access to the Funds</w:t>
      </w:r>
      <w:r w:rsidR="50E8BEBC" w:rsidRPr="00683D8A">
        <w:t xml:space="preserve"> </w:t>
      </w:r>
      <w:r w:rsidR="74ABF9C9" w:rsidRPr="00683D8A">
        <w:t>for</w:t>
      </w:r>
      <w:r w:rsidR="74ABF9C9" w:rsidRPr="36705035">
        <w:rPr>
          <w:b/>
          <w:bCs/>
          <w:color w:val="4472C4" w:themeColor="accent1"/>
        </w:rPr>
        <w:t xml:space="preserve"> small beneficiaries</w:t>
      </w:r>
      <w:r w:rsidR="74ABF9C9">
        <w:t xml:space="preserve"> </w:t>
      </w:r>
      <w:r w:rsidR="50E8BEBC" w:rsidRPr="00683D8A">
        <w:t>thanks to the simplification of the</w:t>
      </w:r>
      <w:r w:rsidR="1677D833">
        <w:t xml:space="preserve"> </w:t>
      </w:r>
      <w:r w:rsidR="50E8BEBC" w:rsidRPr="00683D8A">
        <w:t xml:space="preserve">management process. </w:t>
      </w:r>
    </w:p>
    <w:p w14:paraId="6B090514" w14:textId="54EA39D6" w:rsidR="00683D8A" w:rsidRPr="00683D8A" w:rsidRDefault="00193221" w:rsidP="00342E45">
      <w:pPr>
        <w:ind w:left="851"/>
      </w:pPr>
      <w:r>
        <w:rPr>
          <w:noProof/>
          <w:color w:val="2B579A"/>
          <w:shd w:val="clear" w:color="auto" w:fill="E6E6E6"/>
        </w:rPr>
        <w:drawing>
          <wp:anchor distT="0" distB="0" distL="114300" distR="114300" simplePos="0" relativeHeight="251702784" behindDoc="1" locked="0" layoutInCell="1" allowOverlap="1" wp14:anchorId="768B0FCD" wp14:editId="4CD2C2D1">
            <wp:simplePos x="0" y="0"/>
            <wp:positionH relativeFrom="margin">
              <wp:align>left</wp:align>
            </wp:positionH>
            <wp:positionV relativeFrom="paragraph">
              <wp:posOffset>199969</wp:posOffset>
            </wp:positionV>
            <wp:extent cx="419100" cy="419100"/>
            <wp:effectExtent l="0" t="0" r="0" b="0"/>
            <wp:wrapSquare wrapText="bothSides"/>
            <wp:docPr id="8" name="Graphic 8" descr="Downward trend graph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Downward trend graph outline"/>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419100" cy="419100"/>
                    </a:xfrm>
                    <a:prstGeom prst="rect">
                      <a:avLst/>
                    </a:prstGeom>
                  </pic:spPr>
                </pic:pic>
              </a:graphicData>
            </a:graphic>
            <wp14:sizeRelH relativeFrom="margin">
              <wp14:pctWidth>0</wp14:pctWidth>
            </wp14:sizeRelH>
            <wp14:sizeRelV relativeFrom="margin">
              <wp14:pctHeight>0</wp14:pctHeight>
            </wp14:sizeRelV>
          </wp:anchor>
        </w:drawing>
      </w:r>
      <w:r w:rsidR="031BD0AA" w:rsidRPr="00683D8A">
        <w:t>Finally, simplified cost options contribute to a more efficient and correct use of the CPR Funds (</w:t>
      </w:r>
      <w:r w:rsidR="031BD0AA" w:rsidRPr="0023581C">
        <w:rPr>
          <w:b/>
          <w:bCs/>
          <w:color w:val="4472C4" w:themeColor="accent1"/>
        </w:rPr>
        <w:t>lower error rate</w:t>
      </w:r>
      <w:r w:rsidR="031BD0AA" w:rsidRPr="114B0701">
        <w:rPr>
          <w:rFonts w:eastAsiaTheme="majorEastAsia"/>
          <w:b/>
          <w:bCs/>
          <w:color w:val="2F5496" w:themeColor="accent1" w:themeShade="BF"/>
        </w:rPr>
        <w:t>)</w:t>
      </w:r>
      <w:r w:rsidR="031BD0AA" w:rsidRPr="00683D8A">
        <w:t>. For many years, the European Court of Auditors has repeatedly recommended to the Commission to encourage and extend the use of simplified cost options, especially as they are less prone to errors</w:t>
      </w:r>
      <w:r w:rsidR="00775EC3">
        <w:rPr>
          <w:rStyle w:val="FootnoteReference"/>
        </w:rPr>
        <w:footnoteReference w:id="3"/>
      </w:r>
      <w:r w:rsidR="031BD0AA" w:rsidRPr="00683D8A">
        <w:t>.</w:t>
      </w:r>
      <w:r w:rsidR="031BD0AA">
        <w:t xml:space="preserve"> </w:t>
      </w:r>
      <w:r w:rsidR="031BD0AA" w:rsidRPr="00683D8A">
        <w:t xml:space="preserve">The European Court of Auditors’ briefing paper on Simplification in post-2020 delivery of Cohesion Policy echoed such views, recommending </w:t>
      </w:r>
      <w:proofErr w:type="gramStart"/>
      <w:r w:rsidR="031BD0AA" w:rsidRPr="00683D8A">
        <w:t>to</w:t>
      </w:r>
      <w:r w:rsidR="345F7C57" w:rsidRPr="00683D8A">
        <w:t xml:space="preserve"> </w:t>
      </w:r>
      <w:r w:rsidR="031BD0AA" w:rsidRPr="00683D8A">
        <w:t>increase</w:t>
      </w:r>
      <w:proofErr w:type="gramEnd"/>
      <w:r w:rsidR="031BD0AA" w:rsidRPr="00683D8A">
        <w:t xml:space="preserve"> the possibility to use SCOs also to reduce administrative costs and burden</w:t>
      </w:r>
      <w:r w:rsidR="00AE39F4">
        <w:rPr>
          <w:rStyle w:val="FootnoteReference"/>
        </w:rPr>
        <w:footnoteReference w:id="4"/>
      </w:r>
      <w:r w:rsidR="031BD0AA" w:rsidRPr="00683D8A">
        <w:t>.</w:t>
      </w:r>
    </w:p>
    <w:p w14:paraId="72A6B78F" w14:textId="3054A452" w:rsidR="001B5B2B" w:rsidRPr="002B63BA" w:rsidRDefault="626984CA" w:rsidP="00B32403">
      <w:pPr>
        <w:pStyle w:val="Heading2"/>
        <w:numPr>
          <w:ilvl w:val="1"/>
          <w:numId w:val="6"/>
        </w:numPr>
        <w:rPr>
          <w:b/>
          <w:bCs/>
          <w:color w:val="4472C4" w:themeColor="accent1"/>
        </w:rPr>
      </w:pPr>
      <w:bookmarkStart w:id="3" w:name="_Toc168350288"/>
      <w:r w:rsidRPr="114B0701">
        <w:rPr>
          <w:b/>
          <w:bCs/>
          <w:color w:val="4472C4" w:themeColor="accent1"/>
        </w:rPr>
        <w:t>Whe</w:t>
      </w:r>
      <w:r w:rsidR="5C70F351" w:rsidRPr="114B0701">
        <w:rPr>
          <w:b/>
          <w:bCs/>
          <w:color w:val="4472C4" w:themeColor="accent1"/>
        </w:rPr>
        <w:t>re best</w:t>
      </w:r>
      <w:r w:rsidRPr="114B0701">
        <w:rPr>
          <w:b/>
          <w:bCs/>
          <w:color w:val="4472C4" w:themeColor="accent1"/>
        </w:rPr>
        <w:t xml:space="preserve"> to use simplified cost options</w:t>
      </w:r>
      <w:bookmarkEnd w:id="3"/>
    </w:p>
    <w:p w14:paraId="73EA2F54" w14:textId="242622AF" w:rsidR="001B5B2B" w:rsidRPr="00096288" w:rsidRDefault="0A7D49D9" w:rsidP="00B32403">
      <w:r>
        <w:t>Beyond the cases where the use of simplified cost options is mandatory</w:t>
      </w:r>
      <w:r w:rsidR="41E71114">
        <w:t xml:space="preserve"> (see </w:t>
      </w:r>
      <w:r w:rsidR="59FB11CF">
        <w:t>section</w:t>
      </w:r>
      <w:r w:rsidR="41E71114">
        <w:t>1.4 below)</w:t>
      </w:r>
      <w:r>
        <w:t xml:space="preserve">, it is recommended that simplified cost options are used </w:t>
      </w:r>
      <w:r w:rsidR="0FB6B791">
        <w:t xml:space="preserve">for operations for </w:t>
      </w:r>
      <w:r w:rsidR="65FBE0A3">
        <w:t>which one</w:t>
      </w:r>
      <w:r>
        <w:t xml:space="preserve"> or more of the following </w:t>
      </w:r>
      <w:r w:rsidR="2BE46B4C">
        <w:t>criteria regarding feasibility and relevance are met</w:t>
      </w:r>
      <w:r>
        <w:t xml:space="preserve">: </w:t>
      </w:r>
    </w:p>
    <w:p w14:paraId="3977A77A" w14:textId="339A88D1" w:rsidR="001B5B2B" w:rsidRPr="00512D70" w:rsidRDefault="1BD53510" w:rsidP="00B32403">
      <w:pPr>
        <w:pStyle w:val="ListParagraph"/>
        <w:numPr>
          <w:ilvl w:val="0"/>
          <w:numId w:val="19"/>
        </w:numPr>
      </w:pPr>
      <w:r>
        <w:t xml:space="preserve">For operations where </w:t>
      </w:r>
      <w:r w:rsidR="626984CA">
        <w:t>real costs are difficult</w:t>
      </w:r>
      <w:r w:rsidR="020A8AE5">
        <w:t xml:space="preserve"> and/or burdensome</w:t>
      </w:r>
      <w:r w:rsidR="626984CA">
        <w:t xml:space="preserve"> to verify (many supportive documents for small amounts with little or no singular impact on the expected output of the operations, complex apportionment keys, etc.</w:t>
      </w:r>
      <w:proofErr w:type="gramStart"/>
      <w:r w:rsidR="626984CA">
        <w:t>);</w:t>
      </w:r>
      <w:proofErr w:type="gramEnd"/>
      <w:r w:rsidR="626984CA">
        <w:t xml:space="preserve"> </w:t>
      </w:r>
    </w:p>
    <w:p w14:paraId="3E60C105" w14:textId="2939C2B7" w:rsidR="001B5B2B" w:rsidRPr="00512D70" w:rsidRDefault="0B57E880" w:rsidP="00B32403">
      <w:pPr>
        <w:pStyle w:val="ListParagraph"/>
        <w:numPr>
          <w:ilvl w:val="0"/>
          <w:numId w:val="19"/>
        </w:numPr>
      </w:pPr>
      <w:r>
        <w:t xml:space="preserve">Where </w:t>
      </w:r>
      <w:r w:rsidR="626984CA">
        <w:t xml:space="preserve">reliable </w:t>
      </w:r>
      <w:r w:rsidR="418DAC4B">
        <w:t xml:space="preserve">historical or statistical </w:t>
      </w:r>
      <w:r w:rsidR="626984CA">
        <w:t xml:space="preserve">data on financial and quantitative implementation of </w:t>
      </w:r>
      <w:r w:rsidR="5F63B232">
        <w:t xml:space="preserve">similar </w:t>
      </w:r>
      <w:r w:rsidR="626984CA">
        <w:t>operations are</w:t>
      </w:r>
      <w:r w:rsidR="1D78EC96">
        <w:t xml:space="preserve"> easily</w:t>
      </w:r>
      <w:r w:rsidR="626984CA">
        <w:t xml:space="preserve"> available</w:t>
      </w:r>
      <w:r w:rsidR="225DE2DB">
        <w:t xml:space="preserve"> as a basis to buil</w:t>
      </w:r>
      <w:r w:rsidR="71C9FE1C">
        <w:t>d</w:t>
      </w:r>
      <w:r w:rsidR="225DE2DB">
        <w:t xml:space="preserve"> sound calculation </w:t>
      </w:r>
      <w:proofErr w:type="gramStart"/>
      <w:r w:rsidR="225DE2DB">
        <w:t>methods</w:t>
      </w:r>
      <w:r w:rsidR="626984CA">
        <w:t>;</w:t>
      </w:r>
      <w:proofErr w:type="gramEnd"/>
      <w:r w:rsidR="626984CA">
        <w:t xml:space="preserve"> </w:t>
      </w:r>
    </w:p>
    <w:p w14:paraId="5D54E4C7" w14:textId="61D9FC74" w:rsidR="001B5B2B" w:rsidRPr="003F038F" w:rsidRDefault="7F3DB3E7" w:rsidP="00B32403">
      <w:pPr>
        <w:pStyle w:val="ListParagraph"/>
        <w:numPr>
          <w:ilvl w:val="0"/>
          <w:numId w:val="19"/>
        </w:numPr>
      </w:pPr>
      <w:r>
        <w:t xml:space="preserve">For </w:t>
      </w:r>
      <w:r w:rsidR="24E1ED4B">
        <w:t>operations belong</w:t>
      </w:r>
      <w:r w:rsidR="02D392C9">
        <w:t>ing</w:t>
      </w:r>
      <w:r w:rsidR="24E1ED4B">
        <w:t xml:space="preserve"> to a standard framework</w:t>
      </w:r>
      <w:r w:rsidR="0FE503A6">
        <w:t>, such as</w:t>
      </w:r>
      <w:r w:rsidR="591CE7BF">
        <w:t xml:space="preserve"> </w:t>
      </w:r>
      <w:r w:rsidR="590BDB2B">
        <w:t>rep</w:t>
      </w:r>
      <w:r w:rsidR="3A16219D">
        <w:t>e</w:t>
      </w:r>
      <w:r w:rsidR="590BDB2B">
        <w:t>t</w:t>
      </w:r>
      <w:r w:rsidR="05DFCF21">
        <w:t>it</w:t>
      </w:r>
      <w:r w:rsidR="590BDB2B">
        <w:t>ive</w:t>
      </w:r>
      <w:r w:rsidR="4335A19F">
        <w:t xml:space="preserve"> acti</w:t>
      </w:r>
      <w:r w:rsidR="1F2D5F54">
        <w:t>vities</w:t>
      </w:r>
      <w:r w:rsidR="4335A19F">
        <w:t xml:space="preserve"> </w:t>
      </w:r>
      <w:r w:rsidR="523164CF">
        <w:t>with</w:t>
      </w:r>
      <w:r w:rsidR="4335A19F">
        <w:t xml:space="preserve"> stable terms of </w:t>
      </w:r>
      <w:r w:rsidR="4335A19F">
        <w:t>conditions</w:t>
      </w:r>
      <w:r w:rsidR="231154BB">
        <w:t xml:space="preserve"> and standard forms of </w:t>
      </w:r>
      <w:proofErr w:type="gramStart"/>
      <w:r w:rsidR="231154BB">
        <w:t>implementation</w:t>
      </w:r>
      <w:r w:rsidR="24E1ED4B">
        <w:t>;</w:t>
      </w:r>
      <w:proofErr w:type="gramEnd"/>
      <w:r w:rsidR="24E1ED4B">
        <w:t xml:space="preserve"> </w:t>
      </w:r>
    </w:p>
    <w:p w14:paraId="689AF9E0" w14:textId="358D2D68" w:rsidR="001B5B2B" w:rsidRPr="003F038F" w:rsidRDefault="1D1EF5C4" w:rsidP="00B32403">
      <w:pPr>
        <w:pStyle w:val="ListParagraph"/>
        <w:numPr>
          <w:ilvl w:val="0"/>
          <w:numId w:val="19"/>
        </w:numPr>
      </w:pPr>
      <w:r>
        <w:t xml:space="preserve">Where </w:t>
      </w:r>
      <w:r w:rsidR="1932D6AB">
        <w:t xml:space="preserve">SCO methods already exist for similar types of operations under a nationally funded scheme or under </w:t>
      </w:r>
      <w:r w:rsidR="4928A101">
        <w:t xml:space="preserve">another </w:t>
      </w:r>
      <w:r w:rsidR="1932D6AB">
        <w:t xml:space="preserve">EU </w:t>
      </w:r>
      <w:proofErr w:type="gramStart"/>
      <w:r w:rsidR="1932D6AB">
        <w:t>policy</w:t>
      </w:r>
      <w:r w:rsidR="59FCC365">
        <w:t>;</w:t>
      </w:r>
      <w:proofErr w:type="gramEnd"/>
    </w:p>
    <w:p w14:paraId="1BA30C96" w14:textId="5DEA84DA" w:rsidR="001B5B2B" w:rsidRPr="001B5B2B" w:rsidRDefault="21544F02" w:rsidP="00E05842">
      <w:pPr>
        <w:pStyle w:val="ListParagraph"/>
        <w:numPr>
          <w:ilvl w:val="0"/>
          <w:numId w:val="19"/>
        </w:numPr>
      </w:pPr>
      <w:r>
        <w:t xml:space="preserve"> </w:t>
      </w:r>
      <w:r w:rsidR="0D8E02EE">
        <w:t>W</w:t>
      </w:r>
      <w:r>
        <w:t xml:space="preserve">here </w:t>
      </w:r>
      <w:r w:rsidR="46F00256">
        <w:t xml:space="preserve">the investment - in time and resources - </w:t>
      </w:r>
      <w:r w:rsidR="21CD8655">
        <w:t>to establish SCO</w:t>
      </w:r>
      <w:r w:rsidR="3FF89142">
        <w:t>s</w:t>
      </w:r>
      <w:r w:rsidR="21CD8655">
        <w:t xml:space="preserve"> </w:t>
      </w:r>
      <w:r w:rsidR="4786F864">
        <w:t>does not outweigh the simplification objective</w:t>
      </w:r>
      <w:r w:rsidR="5D4955C4">
        <w:t xml:space="preserve">s pursued by </w:t>
      </w:r>
      <w:r w:rsidR="5D4955C4">
        <w:t>using these SCOs</w:t>
      </w:r>
      <w:r w:rsidR="2388005C">
        <w:t>.</w:t>
      </w:r>
    </w:p>
    <w:p w14:paraId="3D04871D" w14:textId="4C96AE9F" w:rsidR="001171AC" w:rsidRPr="007D2E7A" w:rsidRDefault="04989A35" w:rsidP="00BF0D1A">
      <w:pPr>
        <w:pStyle w:val="Heading2"/>
        <w:numPr>
          <w:ilvl w:val="1"/>
          <w:numId w:val="6"/>
        </w:numPr>
        <w:rPr>
          <w:b/>
          <w:bCs/>
          <w:color w:val="4472C4" w:themeColor="accent1"/>
        </w:rPr>
      </w:pPr>
      <w:bookmarkStart w:id="4" w:name="_Toc168350289"/>
      <w:r w:rsidRPr="007D2E7A">
        <w:rPr>
          <w:b/>
          <w:bCs/>
          <w:color w:val="4472C4" w:themeColor="accent1"/>
        </w:rPr>
        <w:t>Use of simplified cost options at two levels of reimbursement</w:t>
      </w:r>
      <w:bookmarkEnd w:id="4"/>
    </w:p>
    <w:p w14:paraId="4DC75D78" w14:textId="77777777" w:rsidR="00096288" w:rsidRPr="00096288" w:rsidRDefault="00096288" w:rsidP="00B32403">
      <w:r w:rsidRPr="00096288">
        <w:t xml:space="preserve">In line with the legal framework for the 2021-2027 programming period, simplified cost options can be used at two reimbursement levels: </w:t>
      </w:r>
    </w:p>
    <w:p w14:paraId="7459A3C0" w14:textId="5224A5EC" w:rsidR="00096288" w:rsidRPr="00096288" w:rsidRDefault="00096288" w:rsidP="00B32403">
      <w:pPr>
        <w:pStyle w:val="ListParagraph"/>
        <w:numPr>
          <w:ilvl w:val="0"/>
          <w:numId w:val="13"/>
        </w:numPr>
      </w:pPr>
      <w:r w:rsidRPr="00096288">
        <w:t>reimbursement of the Union contribution by the Commission to the Member States’ programmes (“upper level”)</w:t>
      </w:r>
      <w:r w:rsidR="001B5B2B">
        <w:t xml:space="preserve"> and</w:t>
      </w:r>
    </w:p>
    <w:p w14:paraId="2DEBF0D1" w14:textId="7029229D" w:rsidR="00096288" w:rsidRPr="00096288" w:rsidRDefault="3E6D3FD9" w:rsidP="00B32403">
      <w:pPr>
        <w:pStyle w:val="ListParagraph"/>
        <w:numPr>
          <w:ilvl w:val="0"/>
          <w:numId w:val="13"/>
        </w:numPr>
      </w:pPr>
      <w:r>
        <w:t>reimbursement of grants provided by the Member States to beneficiaries (“lower level”).</w:t>
      </w:r>
    </w:p>
    <w:p w14:paraId="17946EEC" w14:textId="56EDD1D6" w:rsidR="00095805" w:rsidRPr="00D61982" w:rsidRDefault="57AFA973" w:rsidP="114B0701">
      <w:pPr>
        <w:pStyle w:val="Style3"/>
      </w:pPr>
      <w:r w:rsidRPr="00ED591F">
        <w:t xml:space="preserve">USE OF SCOs at the </w:t>
      </w:r>
      <w:r w:rsidR="0D3FF955" w:rsidRPr="00ED591F">
        <w:t>“</w:t>
      </w:r>
      <w:r w:rsidR="0D3FF955" w:rsidRPr="643B0604">
        <w:t xml:space="preserve">Upper level” </w:t>
      </w:r>
    </w:p>
    <w:p w14:paraId="068470B7" w14:textId="15AB14B6" w:rsidR="00512D70" w:rsidRPr="00096288" w:rsidRDefault="2C8A9527" w:rsidP="00B32403">
      <w:r>
        <w:t xml:space="preserve">The Union contribution to a programme may be reimbursed in the form of simplified cost options in accordance with Article 51(c), (d) and (e) CPR. </w:t>
      </w:r>
    </w:p>
    <w:p w14:paraId="3E90EA7C" w14:textId="499C5B58" w:rsidR="00512D70" w:rsidRPr="00096288" w:rsidRDefault="089E8E6D" w:rsidP="00B32403">
      <w:r>
        <w:t>The simplified cost options must be established by:</w:t>
      </w:r>
    </w:p>
    <w:p w14:paraId="588061E6" w14:textId="437CCEF2" w:rsidR="00512D70" w:rsidRPr="00512D70" w:rsidRDefault="60BDE347" w:rsidP="114B0701">
      <w:pPr>
        <w:pStyle w:val="ListParagraph"/>
        <w:numPr>
          <w:ilvl w:val="0"/>
          <w:numId w:val="4"/>
        </w:numPr>
      </w:pPr>
      <w:r>
        <w:t>the Commission decision approving the programme or its amendment (Article 94(3) CPR)</w:t>
      </w:r>
      <w:r w:rsidR="44FC6997">
        <w:t>,</w:t>
      </w:r>
      <w:r>
        <w:t xml:space="preserve"> or</w:t>
      </w:r>
    </w:p>
    <w:p w14:paraId="1DDE36FE" w14:textId="39D564AA" w:rsidR="00512D70" w:rsidRDefault="2B719BC1" w:rsidP="114B0701">
      <w:pPr>
        <w:pStyle w:val="ListParagraph"/>
        <w:numPr>
          <w:ilvl w:val="0"/>
          <w:numId w:val="4"/>
        </w:numPr>
      </w:pPr>
      <w:r>
        <w:t>a delegated act adopted by the Commission (Article 94(4) CPR).</w:t>
      </w:r>
    </w:p>
    <w:p w14:paraId="175EBEBF" w14:textId="5FF3E10A" w:rsidR="5E9C5D4B" w:rsidRDefault="48FAEF47" w:rsidP="5E9C5D4B">
      <w:pPr>
        <w:rPr>
          <w:color w:val="4471C4"/>
        </w:rPr>
      </w:pPr>
      <w:r>
        <w:t xml:space="preserve">In the first case, </w:t>
      </w:r>
      <w:r w:rsidRPr="4AF773E3">
        <w:rPr>
          <w:rFonts w:ascii="Calibri" w:eastAsia="Calibri" w:hAnsi="Calibri" w:cs="Calibri"/>
        </w:rPr>
        <w:t>Member States sh</w:t>
      </w:r>
      <w:r w:rsidR="00540FFD">
        <w:rPr>
          <w:rFonts w:ascii="Calibri" w:eastAsia="Calibri" w:hAnsi="Calibri" w:cs="Calibri"/>
        </w:rPr>
        <w:t>ould</w:t>
      </w:r>
      <w:r w:rsidRPr="4AF773E3">
        <w:rPr>
          <w:rFonts w:ascii="Calibri" w:eastAsia="Calibri" w:hAnsi="Calibri" w:cs="Calibri"/>
        </w:rPr>
        <w:t xml:space="preserve"> submit a proposal to the Commission in accordance with Appendix 1 of Annexes V and VI</w:t>
      </w:r>
      <w:r w:rsidR="556DE406" w:rsidRPr="4AF773E3">
        <w:rPr>
          <w:rFonts w:ascii="Calibri" w:eastAsia="Calibri" w:hAnsi="Calibri" w:cs="Calibri"/>
        </w:rPr>
        <w:t xml:space="preserve"> of the CPR</w:t>
      </w:r>
      <w:r w:rsidRPr="4AF773E3">
        <w:rPr>
          <w:rFonts w:ascii="Calibri" w:eastAsia="Calibri" w:hAnsi="Calibri" w:cs="Calibri"/>
        </w:rPr>
        <w:t xml:space="preserve">, as part of the programme submission or of a request for its amendment. </w:t>
      </w:r>
      <w:r w:rsidR="032D56B5" w:rsidRPr="4AF773E3">
        <w:rPr>
          <w:b/>
          <w:bCs/>
          <w:color w:val="4471C4"/>
        </w:rPr>
        <w:t>T</w:t>
      </w:r>
      <w:r w:rsidR="26CE2864" w:rsidRPr="4AF773E3">
        <w:rPr>
          <w:b/>
          <w:bCs/>
          <w:color w:val="4471C4"/>
        </w:rPr>
        <w:t xml:space="preserve">he Audit Authority of that programme is required to provide an ex-ante </w:t>
      </w:r>
      <w:r w:rsidR="26CE2864" w:rsidRPr="4AF773E3">
        <w:t xml:space="preserve">assessment of the calculation methodology and amounts and of the arrangements to ensure the verification, quality, </w:t>
      </w:r>
      <w:proofErr w:type="gramStart"/>
      <w:r w:rsidR="26CE2864" w:rsidRPr="4AF773E3">
        <w:t>collection</w:t>
      </w:r>
      <w:proofErr w:type="gramEnd"/>
      <w:r w:rsidR="26CE2864" w:rsidRPr="4AF773E3">
        <w:t xml:space="preserve"> and storage of data</w:t>
      </w:r>
      <w:r w:rsidR="26CE2864" w:rsidRPr="4AF773E3">
        <w:rPr>
          <w:color w:val="4471C4"/>
        </w:rPr>
        <w:t>.</w:t>
      </w:r>
    </w:p>
    <w:p w14:paraId="76EB9DA9" w14:textId="630F8168" w:rsidR="00D61982" w:rsidRDefault="000A2B88" w:rsidP="00B32403">
      <w:r>
        <w:rPr>
          <w:noProof/>
        </w:rPr>
        <w:drawing>
          <wp:anchor distT="0" distB="0" distL="114300" distR="114300" simplePos="0" relativeHeight="251739648" behindDoc="0" locked="0" layoutInCell="1" allowOverlap="1" wp14:anchorId="0E697805" wp14:editId="64E46F63">
            <wp:simplePos x="0" y="0"/>
            <wp:positionH relativeFrom="margin">
              <wp:align>left</wp:align>
            </wp:positionH>
            <wp:positionV relativeFrom="paragraph">
              <wp:posOffset>553306</wp:posOffset>
            </wp:positionV>
            <wp:extent cx="409575" cy="409575"/>
            <wp:effectExtent l="0" t="0" r="9525" b="9525"/>
            <wp:wrapSquare wrapText="bothSides"/>
            <wp:docPr id="1090361591" name="Graphic 1090361591" descr="Thumbs up sign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2"/>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409575" cy="409575"/>
                    </a:xfrm>
                    <a:prstGeom prst="rect">
                      <a:avLst/>
                    </a:prstGeom>
                  </pic:spPr>
                </pic:pic>
              </a:graphicData>
            </a:graphic>
          </wp:anchor>
        </w:drawing>
      </w:r>
      <w:r w:rsidR="763156E6" w:rsidRPr="0023581C">
        <w:rPr>
          <w:b/>
          <w:bCs/>
          <w:color w:val="4472C4" w:themeColor="accent1"/>
        </w:rPr>
        <w:t xml:space="preserve">The </w:t>
      </w:r>
      <w:r w:rsidR="266D241B" w:rsidRPr="0023581C">
        <w:rPr>
          <w:b/>
          <w:bCs/>
          <w:color w:val="4472C4" w:themeColor="accent1"/>
        </w:rPr>
        <w:t xml:space="preserve">use of SCOs at the </w:t>
      </w:r>
      <w:r w:rsidR="763156E6" w:rsidRPr="0023581C">
        <w:rPr>
          <w:b/>
          <w:bCs/>
          <w:color w:val="4472C4" w:themeColor="accent1"/>
        </w:rPr>
        <w:t xml:space="preserve">“upper level” </w:t>
      </w:r>
      <w:r w:rsidR="44E065BF" w:rsidRPr="0023581C">
        <w:rPr>
          <w:b/>
          <w:bCs/>
          <w:color w:val="4472C4" w:themeColor="accent1"/>
        </w:rPr>
        <w:t>is</w:t>
      </w:r>
      <w:r w:rsidR="763156E6" w:rsidRPr="0023581C">
        <w:rPr>
          <w:b/>
          <w:bCs/>
          <w:color w:val="4472C4" w:themeColor="accent1"/>
        </w:rPr>
        <w:t xml:space="preserve"> not automatically linked to the </w:t>
      </w:r>
      <w:r w:rsidR="0A00710C" w:rsidRPr="0023581C">
        <w:rPr>
          <w:b/>
          <w:bCs/>
          <w:color w:val="4472C4" w:themeColor="accent1"/>
        </w:rPr>
        <w:t xml:space="preserve">use of SCOs at the </w:t>
      </w:r>
      <w:r w:rsidR="763156E6" w:rsidRPr="0023581C">
        <w:rPr>
          <w:b/>
          <w:bCs/>
          <w:color w:val="4472C4" w:themeColor="accent1"/>
        </w:rPr>
        <w:t>“lower level”.</w:t>
      </w:r>
      <w:r w:rsidR="763156E6" w:rsidRPr="00096288">
        <w:t xml:space="preserve"> If the reimbursement of the Union contribution is based on SCOs approved in the programme or in a delegated act, the reimbursement of the beneficiary may take any form of support (Article 94(3) CPR).</w:t>
      </w:r>
    </w:p>
    <w:p w14:paraId="069F72CD" w14:textId="17F96DDE" w:rsidR="003A0B2E" w:rsidRDefault="4DC7D900" w:rsidP="4AF773E3">
      <w:r w:rsidRPr="4AF773E3">
        <w:rPr>
          <w:rFonts w:eastAsiaTheme="majorEastAsia"/>
        </w:rPr>
        <w:t>To reach full simplification, it is however recommended that the</w:t>
      </w:r>
      <w:r w:rsidR="6583C91F" w:rsidRPr="4AF773E3">
        <w:rPr>
          <w:rFonts w:eastAsiaTheme="majorEastAsia"/>
        </w:rPr>
        <w:t xml:space="preserve"> SCOs used at the</w:t>
      </w:r>
      <w:r w:rsidRPr="4AF773E3">
        <w:rPr>
          <w:rFonts w:eastAsiaTheme="majorEastAsia"/>
        </w:rPr>
        <w:t xml:space="preserve"> “upper level” are </w:t>
      </w:r>
      <w:r w:rsidR="64FF343B" w:rsidRPr="4AF773E3">
        <w:rPr>
          <w:rFonts w:eastAsiaTheme="majorEastAsia"/>
        </w:rPr>
        <w:t xml:space="preserve">also </w:t>
      </w:r>
      <w:r w:rsidRPr="4AF773E3">
        <w:rPr>
          <w:rFonts w:eastAsiaTheme="majorEastAsia"/>
        </w:rPr>
        <w:t>used at the “lower level”, i.e.</w:t>
      </w:r>
      <w:r w:rsidR="000A2B88">
        <w:rPr>
          <w:rFonts w:eastAsiaTheme="majorEastAsia"/>
        </w:rPr>
        <w:t>,</w:t>
      </w:r>
      <w:r w:rsidRPr="4AF773E3">
        <w:rPr>
          <w:rFonts w:eastAsiaTheme="majorEastAsia"/>
        </w:rPr>
        <w:t xml:space="preserve"> when reimbursing grants to beneficiaries.</w:t>
      </w:r>
    </w:p>
    <w:p w14:paraId="1EFC407E" w14:textId="545D9DC1" w:rsidR="003A0B2E" w:rsidRDefault="4AF773E3" w:rsidP="4AF773E3">
      <w:r>
        <w:t xml:space="preserve">Member States are not obliged to use SCOs at the “upper level”. The Union contribution to the programme can be based on any form of reimbursement of support provided to beneficiaries (Article 51(b) CPR).  </w:t>
      </w:r>
    </w:p>
    <w:p w14:paraId="535E2A09" w14:textId="6872FCD0" w:rsidR="00096288" w:rsidRPr="0085360C" w:rsidRDefault="7A74957D" w:rsidP="00B32403">
      <w:pPr>
        <w:pStyle w:val="Style3"/>
      </w:pPr>
      <w:r>
        <w:t>Use</w:t>
      </w:r>
      <w:r w:rsidR="30576693">
        <w:t xml:space="preserve"> of SCOs at the </w:t>
      </w:r>
      <w:r w:rsidR="591E6FC6">
        <w:t>“</w:t>
      </w:r>
      <w:r w:rsidR="009AE3CA">
        <w:t>Lower level</w:t>
      </w:r>
      <w:r w:rsidR="591E6FC6">
        <w:t>”</w:t>
      </w:r>
      <w:r w:rsidR="009AE3CA">
        <w:t xml:space="preserve"> </w:t>
      </w:r>
    </w:p>
    <w:p w14:paraId="3E66CD4A" w14:textId="77777777" w:rsidR="001B5B2B" w:rsidRDefault="12E29609" w:rsidP="00B32403">
      <w:r>
        <w:t xml:space="preserve">Simplified cost options may only be used in the case of operations financed through grants (Article 53(1) CPR). SCOs used for the reimbursement of grants provided by Member States to beneficiaries are not included in the programme through Appendix 1 of Annex V and VI of the CPR and are not subject to the Commission’s approval. </w:t>
      </w:r>
    </w:p>
    <w:p w14:paraId="23DB9D88" w14:textId="35C77067" w:rsidR="00D61982" w:rsidRDefault="001B5B2B" w:rsidP="00B32403">
      <w:r w:rsidRPr="0023581C">
        <w:rPr>
          <w:b/>
          <w:bCs/>
          <w:noProof/>
          <w:color w:val="4472C4" w:themeColor="accent1"/>
          <w:shd w:val="clear" w:color="auto" w:fill="E6E6E6"/>
        </w:rPr>
        <w:drawing>
          <wp:anchor distT="0" distB="0" distL="114300" distR="114300" simplePos="0" relativeHeight="251706880" behindDoc="0" locked="0" layoutInCell="1" allowOverlap="1" wp14:anchorId="792B80DC" wp14:editId="108A7C1C">
            <wp:simplePos x="0" y="0"/>
            <wp:positionH relativeFrom="margin">
              <wp:align>left</wp:align>
            </wp:positionH>
            <wp:positionV relativeFrom="paragraph">
              <wp:posOffset>8890</wp:posOffset>
            </wp:positionV>
            <wp:extent cx="390525" cy="390525"/>
            <wp:effectExtent l="0" t="0" r="9525" b="9525"/>
            <wp:wrapSquare wrapText="bothSides"/>
            <wp:docPr id="13" name="Graphic 13" descr="Thumbs up sign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Thumbs up sign outline"/>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90525" cy="390525"/>
                    </a:xfrm>
                    <a:prstGeom prst="rect">
                      <a:avLst/>
                    </a:prstGeom>
                  </pic:spPr>
                </pic:pic>
              </a:graphicData>
            </a:graphic>
            <wp14:sizeRelH relativeFrom="margin">
              <wp14:pctWidth>0</wp14:pctWidth>
            </wp14:sizeRelH>
            <wp14:sizeRelV relativeFrom="margin">
              <wp14:pctHeight>0</wp14:pctHeight>
            </wp14:sizeRelV>
          </wp:anchor>
        </w:drawing>
      </w:r>
      <w:r w:rsidR="01E5D3C2" w:rsidRPr="0023581C">
        <w:rPr>
          <w:b/>
          <w:bCs/>
          <w:color w:val="4472C4" w:themeColor="accent1"/>
        </w:rPr>
        <w:t>The ex-ante assessment by the audit authorit</w:t>
      </w:r>
      <w:r w:rsidR="2AFF8747" w:rsidRPr="0023581C">
        <w:rPr>
          <w:b/>
          <w:bCs/>
          <w:color w:val="4472C4" w:themeColor="accent1"/>
        </w:rPr>
        <w:t>y</w:t>
      </w:r>
      <w:r w:rsidR="01E5D3C2" w:rsidRPr="00096288">
        <w:t xml:space="preserve"> is not required for </w:t>
      </w:r>
      <w:r w:rsidR="4BCA7BB3">
        <w:t xml:space="preserve">SCOs used at </w:t>
      </w:r>
      <w:proofErr w:type="gramStart"/>
      <w:r w:rsidR="4858CB17">
        <w:t>the ”lower</w:t>
      </w:r>
      <w:proofErr w:type="gramEnd"/>
      <w:r w:rsidR="01E5D3C2" w:rsidRPr="00096288">
        <w:t xml:space="preserve"> </w:t>
      </w:r>
      <w:r w:rsidR="44A2E100" w:rsidRPr="00096288">
        <w:t>level” but</w:t>
      </w:r>
      <w:r w:rsidR="01E5D3C2" w:rsidRPr="00096288">
        <w:t xml:space="preserve"> it </w:t>
      </w:r>
      <w:r w:rsidR="01E5D3C2" w:rsidRPr="0023581C">
        <w:rPr>
          <w:b/>
          <w:bCs/>
          <w:color w:val="4472C4" w:themeColor="accent1"/>
        </w:rPr>
        <w:t>is highly recommended</w:t>
      </w:r>
      <w:r w:rsidR="01E5D3C2" w:rsidRPr="00096288">
        <w:t xml:space="preserve">. </w:t>
      </w:r>
    </w:p>
    <w:p w14:paraId="00CEDA88" w14:textId="4DA5E6F5" w:rsidR="114B0701" w:rsidRDefault="114B0701" w:rsidP="08CFE430">
      <w:r>
        <w:rPr>
          <w:noProof/>
        </w:rPr>
        <w:drawing>
          <wp:anchor distT="0" distB="0" distL="114300" distR="114300" simplePos="0" relativeHeight="251710976" behindDoc="0" locked="0" layoutInCell="1" allowOverlap="1" wp14:anchorId="7B5C7ED7" wp14:editId="3DEB8789">
            <wp:simplePos x="0" y="0"/>
            <wp:positionH relativeFrom="page">
              <wp:posOffset>834390</wp:posOffset>
            </wp:positionH>
            <wp:positionV relativeFrom="paragraph">
              <wp:posOffset>95885</wp:posOffset>
            </wp:positionV>
            <wp:extent cx="484505" cy="484505"/>
            <wp:effectExtent l="0" t="0" r="0" b="0"/>
            <wp:wrapSquare wrapText="bothSides"/>
            <wp:docPr id="1021661361" name="Graphic 1021661361" descr="Comment Importan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9"/>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484505" cy="484505"/>
                    </a:xfrm>
                    <a:prstGeom prst="rect">
                      <a:avLst/>
                    </a:prstGeom>
                  </pic:spPr>
                </pic:pic>
              </a:graphicData>
            </a:graphic>
            <wp14:sizeRelH relativeFrom="page">
              <wp14:pctWidth>0</wp14:pctWidth>
            </wp14:sizeRelH>
            <wp14:sizeRelV relativeFrom="page">
              <wp14:pctHeight>0</wp14:pctHeight>
            </wp14:sizeRelV>
          </wp:anchor>
        </w:drawing>
      </w:r>
      <w:r w:rsidR="39EFA29C">
        <w:t xml:space="preserve">Simplified cost options are forms of grants according to Article 53 CPR, therefore the provisions are </w:t>
      </w:r>
      <w:r w:rsidR="39EFA29C" w:rsidRPr="30D7A848">
        <w:rPr>
          <w:b/>
          <w:bCs/>
          <w:color w:val="4472C4" w:themeColor="accent1"/>
        </w:rPr>
        <w:t>not applicable to the support provided in the form of financial instruments</w:t>
      </w:r>
      <w:r w:rsidR="00053B01">
        <w:rPr>
          <w:b/>
          <w:bCs/>
          <w:color w:val="4472C4" w:themeColor="accent1"/>
        </w:rPr>
        <w:t xml:space="preserve"> </w:t>
      </w:r>
      <w:r w:rsidR="39EFA29C" w:rsidRPr="00ED591F">
        <w:rPr>
          <w:b/>
          <w:bCs/>
          <w:color w:val="4472C4" w:themeColor="accent1"/>
        </w:rPr>
        <w:t>in one operation</w:t>
      </w:r>
      <w:r w:rsidR="39EFA29C">
        <w:t xml:space="preserve"> according to Article 58(5) CPR, the combined support follows the FI rules. Accordingly, the provisions concerning the simplified cost options set out in Articles 53-56 CPR are not applicable to the combined grant component. However, in case a grant is combined with a financial instrument </w:t>
      </w:r>
      <w:r w:rsidR="39EFA29C" w:rsidRPr="30D7A848">
        <w:rPr>
          <w:b/>
          <w:bCs/>
          <w:color w:val="4472C4" w:themeColor="accent1"/>
        </w:rPr>
        <w:t>in two separate operations</w:t>
      </w:r>
      <w:r w:rsidR="39EFA29C">
        <w:t>, simplified cost options can be used for the part of the support which is provided in the form of a grant. Simplified cost options cannot be used in case the support to an operation is provided in the form of a prize.</w:t>
      </w:r>
    </w:p>
    <w:p w14:paraId="64CB5EBC" w14:textId="77777777" w:rsidR="00ED591F" w:rsidRDefault="00ED591F" w:rsidP="08CFE430"/>
    <w:p w14:paraId="09E9225A" w14:textId="77777777" w:rsidR="00ED591F" w:rsidRDefault="00ED591F" w:rsidP="08CFE430"/>
    <w:p w14:paraId="49CE9F2F" w14:textId="2089DCD5" w:rsidR="00EC2206" w:rsidRPr="00EC2206" w:rsidRDefault="0F672E80" w:rsidP="00B32403">
      <w:pPr>
        <w:pStyle w:val="Style3"/>
      </w:pPr>
      <w:r>
        <w:lastRenderedPageBreak/>
        <w:t>Key</w:t>
      </w:r>
      <w:r w:rsidR="23E1A3ED">
        <w:t xml:space="preserve"> similarities and</w:t>
      </w:r>
      <w:r>
        <w:t xml:space="preserve"> differences between </w:t>
      </w:r>
      <w:r w:rsidR="00CA465F">
        <w:t xml:space="preserve">SCOs used at the </w:t>
      </w:r>
      <w:r>
        <w:t>“upper” and “lower” level</w:t>
      </w:r>
    </w:p>
    <w:tbl>
      <w:tblPr>
        <w:tblStyle w:val="GridTable5Dark-Accent1"/>
        <w:tblW w:w="9067" w:type="dxa"/>
        <w:tblLook w:val="04A0" w:firstRow="1" w:lastRow="0" w:firstColumn="1" w:lastColumn="0" w:noHBand="0" w:noVBand="1"/>
      </w:tblPr>
      <w:tblGrid>
        <w:gridCol w:w="2416"/>
        <w:gridCol w:w="3249"/>
        <w:gridCol w:w="3402"/>
      </w:tblGrid>
      <w:tr w:rsidR="0031638A" w14:paraId="1A2D1FF5" w14:textId="77777777" w:rsidTr="30D7A8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6" w:type="dxa"/>
          </w:tcPr>
          <w:p w14:paraId="0BC8A9C2" w14:textId="615D2EBD" w:rsidR="0031638A" w:rsidRDefault="0031638A" w:rsidP="00B32403"/>
        </w:tc>
        <w:tc>
          <w:tcPr>
            <w:tcW w:w="3249" w:type="dxa"/>
          </w:tcPr>
          <w:p w14:paraId="2D0D0F8E" w14:textId="518AD328" w:rsidR="0031638A" w:rsidRDefault="7B22C677" w:rsidP="00007773">
            <w:pPr>
              <w:jc w:val="center"/>
              <w:cnfStyle w:val="100000000000" w:firstRow="1" w:lastRow="0" w:firstColumn="0" w:lastColumn="0" w:oddVBand="0" w:evenVBand="0" w:oddHBand="0" w:evenHBand="0" w:firstRowFirstColumn="0" w:firstRowLastColumn="0" w:lastRowFirstColumn="0" w:lastRowLastColumn="0"/>
            </w:pPr>
            <w:r>
              <w:t>SCOs</w:t>
            </w:r>
            <w:r w:rsidR="56ACEB4D">
              <w:t xml:space="preserve"> used at “upper level”</w:t>
            </w:r>
          </w:p>
        </w:tc>
        <w:tc>
          <w:tcPr>
            <w:tcW w:w="3402" w:type="dxa"/>
          </w:tcPr>
          <w:p w14:paraId="2C253226" w14:textId="1177C1DC" w:rsidR="0031638A" w:rsidRDefault="7B22C677" w:rsidP="00007773">
            <w:pPr>
              <w:jc w:val="center"/>
              <w:cnfStyle w:val="100000000000" w:firstRow="1" w:lastRow="0" w:firstColumn="0" w:lastColumn="0" w:oddVBand="0" w:evenVBand="0" w:oddHBand="0" w:evenHBand="0" w:firstRowFirstColumn="0" w:firstRowLastColumn="0" w:lastRowFirstColumn="0" w:lastRowLastColumn="0"/>
            </w:pPr>
            <w:r>
              <w:t xml:space="preserve"> SCOs</w:t>
            </w:r>
            <w:r w:rsidR="0BD14A28">
              <w:t xml:space="preserve"> used at “lower level”</w:t>
            </w:r>
          </w:p>
        </w:tc>
      </w:tr>
      <w:tr w:rsidR="0031638A" w14:paraId="16E688E8" w14:textId="77777777" w:rsidTr="30D7A8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6" w:type="dxa"/>
          </w:tcPr>
          <w:p w14:paraId="502FC5D5" w14:textId="655945A6" w:rsidR="0031638A" w:rsidRDefault="0031638A" w:rsidP="00B32403">
            <w:r>
              <w:t xml:space="preserve">Type of SCOs used </w:t>
            </w:r>
          </w:p>
        </w:tc>
        <w:tc>
          <w:tcPr>
            <w:tcW w:w="6651" w:type="dxa"/>
            <w:gridSpan w:val="2"/>
          </w:tcPr>
          <w:p w14:paraId="46CA69FA" w14:textId="14EC290D" w:rsidR="0031638A" w:rsidRDefault="29A8C512" w:rsidP="00ED591F">
            <w:pPr>
              <w:jc w:val="center"/>
              <w:cnfStyle w:val="000000100000" w:firstRow="0" w:lastRow="0" w:firstColumn="0" w:lastColumn="0" w:oddVBand="0" w:evenVBand="0" w:oddHBand="1" w:evenHBand="0" w:firstRowFirstColumn="0" w:firstRowLastColumn="0" w:lastRowFirstColumn="0" w:lastRowLastColumn="0"/>
            </w:pPr>
            <w:r>
              <w:t>Unit costs, flat</w:t>
            </w:r>
            <w:r w:rsidR="4C40334F">
              <w:t>-</w:t>
            </w:r>
            <w:r>
              <w:t xml:space="preserve">rate </w:t>
            </w:r>
            <w:proofErr w:type="gramStart"/>
            <w:r>
              <w:t>financing</w:t>
            </w:r>
            <w:proofErr w:type="gramEnd"/>
            <w:r>
              <w:t xml:space="preserve"> and lump sums</w:t>
            </w:r>
          </w:p>
        </w:tc>
      </w:tr>
      <w:tr w:rsidR="0031638A" w14:paraId="5FC8E581" w14:textId="77777777" w:rsidTr="30D7A848">
        <w:tc>
          <w:tcPr>
            <w:cnfStyle w:val="001000000000" w:firstRow="0" w:lastRow="0" w:firstColumn="1" w:lastColumn="0" w:oddVBand="0" w:evenVBand="0" w:oddHBand="0" w:evenHBand="0" w:firstRowFirstColumn="0" w:firstRowLastColumn="0" w:lastRowFirstColumn="0" w:lastRowLastColumn="0"/>
            <w:tcW w:w="2416" w:type="dxa"/>
          </w:tcPr>
          <w:p w14:paraId="251ED80B" w14:textId="765E7434" w:rsidR="0031638A" w:rsidRDefault="0031638A" w:rsidP="0031638A">
            <w:bookmarkStart w:id="5" w:name="_Hlk163937940"/>
            <w:r>
              <w:t>Commission’s role in setting up the SCOs</w:t>
            </w:r>
          </w:p>
        </w:tc>
        <w:tc>
          <w:tcPr>
            <w:tcW w:w="3249" w:type="dxa"/>
          </w:tcPr>
          <w:p w14:paraId="7661F2E2" w14:textId="77777777" w:rsidR="0031638A" w:rsidRDefault="0031638A" w:rsidP="0031638A">
            <w:pPr>
              <w:cnfStyle w:val="000000000000" w:firstRow="0" w:lastRow="0" w:firstColumn="0" w:lastColumn="0" w:oddVBand="0" w:evenVBand="0" w:oddHBand="0" w:evenHBand="0" w:firstRowFirstColumn="0" w:firstRowLastColumn="0" w:lastRowFirstColumn="0" w:lastRowLastColumn="0"/>
            </w:pPr>
            <w:r>
              <w:t xml:space="preserve">The SCOs are adopted by the Commission: </w:t>
            </w:r>
          </w:p>
          <w:p w14:paraId="26AFACF5" w14:textId="3EA02278" w:rsidR="0031638A" w:rsidRDefault="0031638A" w:rsidP="0031638A">
            <w:pPr>
              <w:cnfStyle w:val="000000000000" w:firstRow="0" w:lastRow="0" w:firstColumn="0" w:lastColumn="0" w:oddVBand="0" w:evenVBand="0" w:oddHBand="0" w:evenHBand="0" w:firstRowFirstColumn="0" w:firstRowLastColumn="0" w:lastRowFirstColumn="0" w:lastRowLastColumn="0"/>
            </w:pPr>
            <w:r>
              <w:t xml:space="preserve">1) in the decision approving the programme or its amendment </w:t>
            </w:r>
            <w:proofErr w:type="gramStart"/>
            <w:r>
              <w:t>on the basis of</w:t>
            </w:r>
            <w:proofErr w:type="gramEnd"/>
            <w:r>
              <w:t xml:space="preserve"> a proposal submitted by the Member States in accordance with the template set out in Appendix 1 of Annexes V and VI CPR </w:t>
            </w:r>
            <w:r w:rsidR="00FD7408" w:rsidRPr="00FD7408">
              <w:t>(Article 94(3) CPR)</w:t>
            </w:r>
            <w:r w:rsidR="00FD7408">
              <w:t xml:space="preserve">) </w:t>
            </w:r>
            <w:r>
              <w:t>or</w:t>
            </w:r>
          </w:p>
          <w:p w14:paraId="033388E3" w14:textId="7F0BEDD7" w:rsidR="0031638A" w:rsidRDefault="0031638A" w:rsidP="0031638A">
            <w:pPr>
              <w:cnfStyle w:val="000000000000" w:firstRow="0" w:lastRow="0" w:firstColumn="0" w:lastColumn="0" w:oddVBand="0" w:evenVBand="0" w:oddHBand="0" w:evenHBand="0" w:firstRowFirstColumn="0" w:firstRowLastColumn="0" w:lastRowFirstColumn="0" w:lastRowLastColumn="0"/>
            </w:pPr>
            <w:r>
              <w:t>2) by means of a delegated act</w:t>
            </w:r>
            <w:r w:rsidR="00FD7408">
              <w:t xml:space="preserve"> (Article 94(4) CPR)</w:t>
            </w:r>
            <w:r>
              <w:t>.</w:t>
            </w:r>
          </w:p>
        </w:tc>
        <w:tc>
          <w:tcPr>
            <w:tcW w:w="3402" w:type="dxa"/>
          </w:tcPr>
          <w:p w14:paraId="2B52D478" w14:textId="1A9A547F" w:rsidR="0031638A" w:rsidRDefault="29A8C512" w:rsidP="0031638A">
            <w:pPr>
              <w:cnfStyle w:val="000000000000" w:firstRow="0" w:lastRow="0" w:firstColumn="0" w:lastColumn="0" w:oddVBand="0" w:evenVBand="0" w:oddHBand="0" w:evenHBand="0" w:firstRowFirstColumn="0" w:firstRowLastColumn="0" w:lastRowFirstColumn="0" w:lastRowLastColumn="0"/>
            </w:pPr>
            <w:r>
              <w:t>The SCO and methodology are defined by Member States</w:t>
            </w:r>
            <w:r w:rsidR="6A290FB2">
              <w:t xml:space="preserve"> without any mandatory involvement of the Commission.</w:t>
            </w:r>
            <w:r>
              <w:t xml:space="preserve"> </w:t>
            </w:r>
          </w:p>
        </w:tc>
      </w:tr>
      <w:tr w:rsidR="00FD7408" w14:paraId="40494C97" w14:textId="77777777" w:rsidTr="30D7A8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6" w:type="dxa"/>
          </w:tcPr>
          <w:p w14:paraId="46BF0EEC" w14:textId="08C9954A" w:rsidR="00FD7408" w:rsidRDefault="00FD7408" w:rsidP="00FD7408">
            <w:r>
              <w:t>Audit authority’s role in setting up the SCOs</w:t>
            </w:r>
          </w:p>
        </w:tc>
        <w:tc>
          <w:tcPr>
            <w:tcW w:w="3249" w:type="dxa"/>
          </w:tcPr>
          <w:p w14:paraId="2AAC4C00" w14:textId="7C80B70F" w:rsidR="00FD7408" w:rsidRPr="002B1B87" w:rsidRDefault="38BD79D0" w:rsidP="00FD7408">
            <w:pPr>
              <w:cnfStyle w:val="000000100000" w:firstRow="0" w:lastRow="0" w:firstColumn="0" w:lastColumn="0" w:oddVBand="0" w:evenVBand="0" w:oddHBand="1" w:evenHBand="0" w:firstRowFirstColumn="0" w:firstRowLastColumn="0" w:lastRowFirstColumn="0" w:lastRowLastColumn="0"/>
            </w:pPr>
            <w:r>
              <w:t xml:space="preserve">An </w:t>
            </w:r>
            <w:r w:rsidR="0252DFA6">
              <w:t>ex-ante assess</w:t>
            </w:r>
            <w:r w:rsidR="3FFF16EA">
              <w:t xml:space="preserve">ment of the methodology </w:t>
            </w:r>
            <w:r w:rsidR="1CDF1981">
              <w:t xml:space="preserve">by the AA </w:t>
            </w:r>
            <w:r w:rsidR="3FFF16EA">
              <w:t>is mandatory for the SCOs set up by Commission decision approving the programme or its amendment (Article 94(3) CPR)</w:t>
            </w:r>
          </w:p>
        </w:tc>
        <w:tc>
          <w:tcPr>
            <w:tcW w:w="3402" w:type="dxa"/>
          </w:tcPr>
          <w:p w14:paraId="2EEC74CB" w14:textId="103DE343" w:rsidR="00FD7408" w:rsidRDefault="1990418E" w:rsidP="00FD7408">
            <w:pPr>
              <w:cnfStyle w:val="000000100000" w:firstRow="0" w:lastRow="0" w:firstColumn="0" w:lastColumn="0" w:oddVBand="0" w:evenVBand="0" w:oddHBand="1" w:evenHBand="0" w:firstRowFirstColumn="0" w:firstRowLastColumn="0" w:lastRowFirstColumn="0" w:lastRowLastColumn="0"/>
            </w:pPr>
            <w:r>
              <w:t>The</w:t>
            </w:r>
            <w:r w:rsidR="3F68239C">
              <w:t xml:space="preserve"> ex-ante</w:t>
            </w:r>
            <w:r w:rsidR="6A40D840">
              <w:t xml:space="preserve"> asses</w:t>
            </w:r>
            <w:r w:rsidR="28E9DBE8">
              <w:t>s</w:t>
            </w:r>
            <w:r w:rsidR="6A40D840">
              <w:t>m</w:t>
            </w:r>
            <w:r>
              <w:t xml:space="preserve">ent of the methodology </w:t>
            </w:r>
            <w:r w:rsidR="1CFB2A99">
              <w:t>by the AA</w:t>
            </w:r>
            <w:r w:rsidR="0BEC84D1">
              <w:t xml:space="preserve"> </w:t>
            </w:r>
            <w:r>
              <w:t>is not mandatory but highly recommended.</w:t>
            </w:r>
          </w:p>
        </w:tc>
      </w:tr>
      <w:tr w:rsidR="00FD7408" w14:paraId="2C36D33E" w14:textId="77777777" w:rsidTr="30D7A848">
        <w:tc>
          <w:tcPr>
            <w:cnfStyle w:val="001000000000" w:firstRow="0" w:lastRow="0" w:firstColumn="1" w:lastColumn="0" w:oddVBand="0" w:evenVBand="0" w:oddHBand="0" w:evenHBand="0" w:firstRowFirstColumn="0" w:firstRowLastColumn="0" w:lastRowFirstColumn="0" w:lastRowLastColumn="0"/>
            <w:tcW w:w="2416" w:type="dxa"/>
          </w:tcPr>
          <w:p w14:paraId="39196313" w14:textId="00870A38" w:rsidR="00FD7408" w:rsidRDefault="00FD7408" w:rsidP="00FD7408">
            <w:r>
              <w:t>Allowed methodology</w:t>
            </w:r>
          </w:p>
        </w:tc>
        <w:tc>
          <w:tcPr>
            <w:tcW w:w="3249" w:type="dxa"/>
          </w:tcPr>
          <w:p w14:paraId="1CDD80C6" w14:textId="77777777" w:rsidR="00ED591F" w:rsidRPr="00ED591F" w:rsidRDefault="00ED591F" w:rsidP="00ED591F">
            <w:pPr>
              <w:cnfStyle w:val="000000000000" w:firstRow="0" w:lastRow="0" w:firstColumn="0" w:lastColumn="0" w:oddVBand="0" w:evenVBand="0" w:oddHBand="0" w:evenHBand="0" w:firstRowFirstColumn="0" w:firstRowLastColumn="0" w:lastRowFirstColumn="0" w:lastRowLastColumn="0"/>
            </w:pPr>
            <w:r w:rsidRPr="00ED591F">
              <w:t xml:space="preserve">Calculation based on a fair, equitable and verifiable method (e.g., </w:t>
            </w:r>
            <w:proofErr w:type="gramStart"/>
            <w:r w:rsidRPr="00ED591F">
              <w:t>statistical</w:t>
            </w:r>
            <w:proofErr w:type="gramEnd"/>
            <w:r w:rsidRPr="00ED591F">
              <w:t xml:space="preserve"> and historical data).</w:t>
            </w:r>
          </w:p>
          <w:p w14:paraId="3A167DFA" w14:textId="77777777" w:rsidR="00ED591F" w:rsidRPr="00ED591F" w:rsidRDefault="00ED591F" w:rsidP="00ED591F">
            <w:pPr>
              <w:cnfStyle w:val="000000000000" w:firstRow="0" w:lastRow="0" w:firstColumn="0" w:lastColumn="0" w:oddVBand="0" w:evenVBand="0" w:oddHBand="0" w:evenHBand="0" w:firstRowFirstColumn="0" w:firstRowLastColumn="0" w:lastRowFirstColumn="0" w:lastRowLastColumn="0"/>
            </w:pPr>
            <w:r w:rsidRPr="00ED591F">
              <w:t xml:space="preserve">Draft budget </w:t>
            </w:r>
          </w:p>
          <w:p w14:paraId="6E571312" w14:textId="35F6C7E3" w:rsidR="00ED591F" w:rsidRPr="00ED591F" w:rsidRDefault="00ED591F" w:rsidP="00ED591F">
            <w:pPr>
              <w:spacing w:before="0"/>
              <w:cnfStyle w:val="000000000000" w:firstRow="0" w:lastRow="0" w:firstColumn="0" w:lastColumn="0" w:oddVBand="0" w:evenVBand="0" w:oddHBand="0" w:evenHBand="0" w:firstRowFirstColumn="0" w:firstRowLastColumn="0" w:lastRowFirstColumn="0" w:lastRowLastColumn="0"/>
            </w:pPr>
            <w:r w:rsidRPr="00ED591F">
              <w:t>Use of existing EU or national schemes for similar types of operations</w:t>
            </w:r>
          </w:p>
        </w:tc>
        <w:tc>
          <w:tcPr>
            <w:tcW w:w="3402" w:type="dxa"/>
          </w:tcPr>
          <w:p w14:paraId="7B7B7D5C" w14:textId="09CE715A" w:rsidR="00FD7408" w:rsidRPr="00ED591F" w:rsidRDefault="12188BF4" w:rsidP="00FD7408">
            <w:pPr>
              <w:cnfStyle w:val="000000000000" w:firstRow="0" w:lastRow="0" w:firstColumn="0" w:lastColumn="0" w:oddVBand="0" w:evenVBand="0" w:oddHBand="0" w:evenHBand="0" w:firstRowFirstColumn="0" w:firstRowLastColumn="0" w:lastRowFirstColumn="0" w:lastRowLastColumn="0"/>
            </w:pPr>
            <w:r w:rsidRPr="00ED591F">
              <w:t>Calculation based on a fair, equitable and verifiable method</w:t>
            </w:r>
            <w:r w:rsidR="29B4ACAA" w:rsidRPr="00ED591F">
              <w:t xml:space="preserve"> (</w:t>
            </w:r>
            <w:r w:rsidR="00ED591F" w:rsidRPr="00ED591F">
              <w:t>e.g.,</w:t>
            </w:r>
            <w:r w:rsidR="29B4ACAA" w:rsidRPr="00ED591F">
              <w:t xml:space="preserve"> </w:t>
            </w:r>
            <w:proofErr w:type="gramStart"/>
            <w:r w:rsidR="29B4ACAA" w:rsidRPr="00ED591F">
              <w:t>statistical</w:t>
            </w:r>
            <w:proofErr w:type="gramEnd"/>
            <w:r w:rsidR="29B4ACAA" w:rsidRPr="00ED591F">
              <w:t xml:space="preserve"> and historical data)</w:t>
            </w:r>
            <w:r w:rsidRPr="00ED591F">
              <w:t>.</w:t>
            </w:r>
          </w:p>
          <w:p w14:paraId="38695280" w14:textId="74B9056B" w:rsidR="00FD7408" w:rsidRPr="00ED591F" w:rsidRDefault="12188BF4" w:rsidP="00FD7408">
            <w:pPr>
              <w:cnfStyle w:val="000000000000" w:firstRow="0" w:lastRow="0" w:firstColumn="0" w:lastColumn="0" w:oddVBand="0" w:evenVBand="0" w:oddHBand="0" w:evenHBand="0" w:firstRowFirstColumn="0" w:firstRowLastColumn="0" w:lastRowFirstColumn="0" w:lastRowLastColumn="0"/>
            </w:pPr>
            <w:r w:rsidRPr="00ED591F">
              <w:t xml:space="preserve">Draft budget </w:t>
            </w:r>
            <w:r w:rsidR="5FB654C5" w:rsidRPr="00ED591F">
              <w:t>(</w:t>
            </w:r>
            <w:r w:rsidRPr="00ED591F">
              <w:t>if the total cost of the operation does not exceed EUR 200 000</w:t>
            </w:r>
            <w:r w:rsidR="6F3837E8" w:rsidRPr="00ED591F">
              <w:t>)</w:t>
            </w:r>
          </w:p>
          <w:p w14:paraId="04279336" w14:textId="77777777" w:rsidR="00FD7408" w:rsidRPr="00ED591F" w:rsidRDefault="00FD7408" w:rsidP="00FD7408">
            <w:pPr>
              <w:cnfStyle w:val="000000000000" w:firstRow="0" w:lastRow="0" w:firstColumn="0" w:lastColumn="0" w:oddVBand="0" w:evenVBand="0" w:oddHBand="0" w:evenHBand="0" w:firstRowFirstColumn="0" w:firstRowLastColumn="0" w:lastRowFirstColumn="0" w:lastRowLastColumn="0"/>
            </w:pPr>
            <w:r w:rsidRPr="00ED591F">
              <w:t>Use of existing EU or national schemes for similar types of operations</w:t>
            </w:r>
          </w:p>
          <w:p w14:paraId="1DFAA83F" w14:textId="654E404E" w:rsidR="00FD7408" w:rsidRPr="00ED591F" w:rsidRDefault="3FFF16EA" w:rsidP="00FD7408">
            <w:pPr>
              <w:cnfStyle w:val="000000000000" w:firstRow="0" w:lastRow="0" w:firstColumn="0" w:lastColumn="0" w:oddVBand="0" w:evenVBand="0" w:oddHBand="0" w:evenHBand="0" w:firstRowFirstColumn="0" w:firstRowLastColumn="0" w:lastRowFirstColumn="0" w:lastRowLastColumn="0"/>
            </w:pPr>
            <w:r w:rsidRPr="00ED591F">
              <w:t xml:space="preserve">Use of rates and methodologies established by or </w:t>
            </w:r>
            <w:proofErr w:type="gramStart"/>
            <w:r w:rsidRPr="00ED591F">
              <w:t>on the basis of</w:t>
            </w:r>
            <w:proofErr w:type="gramEnd"/>
            <w:r w:rsidRPr="00ED591F">
              <w:t xml:space="preserve"> the CPR or Fund-specific regulations</w:t>
            </w:r>
          </w:p>
        </w:tc>
      </w:tr>
      <w:tr w:rsidR="00FD7408" w14:paraId="3D4EF8B6" w14:textId="77777777" w:rsidTr="30D7A8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6" w:type="dxa"/>
          </w:tcPr>
          <w:p w14:paraId="4E52B841" w14:textId="45329C95" w:rsidR="00FD7408" w:rsidRDefault="0C828A4A" w:rsidP="00ED591F">
            <w:pPr>
              <w:spacing w:line="276" w:lineRule="auto"/>
            </w:pPr>
            <w:r>
              <w:t>Reimbursement</w:t>
            </w:r>
            <w:r w:rsidR="69785522">
              <w:t xml:space="preserve"> level</w:t>
            </w:r>
          </w:p>
        </w:tc>
        <w:tc>
          <w:tcPr>
            <w:tcW w:w="3249" w:type="dxa"/>
          </w:tcPr>
          <w:p w14:paraId="5BF5E80C" w14:textId="45B80EF4" w:rsidR="00FD7408" w:rsidRDefault="12188BF4" w:rsidP="00FD7408">
            <w:pPr>
              <w:cnfStyle w:val="000000100000" w:firstRow="0" w:lastRow="0" w:firstColumn="0" w:lastColumn="0" w:oddVBand="0" w:evenVBand="0" w:oddHBand="1" w:evenHBand="0" w:firstRowFirstColumn="0" w:firstRowLastColumn="0" w:lastRowFirstColumn="0" w:lastRowLastColumn="0"/>
            </w:pPr>
            <w:r>
              <w:t>Member State</w:t>
            </w:r>
            <w:r w:rsidR="5428BE3B">
              <w:t xml:space="preserve"> is reimbursed by the Commission</w:t>
            </w:r>
            <w:r w:rsidR="0FE6AAD5">
              <w:t xml:space="preserve"> (COM</w:t>
            </w:r>
            <w:r w:rsidR="69A33799">
              <w:t xml:space="preserve"> – </w:t>
            </w:r>
            <w:r w:rsidR="0FE6AAD5">
              <w:t>MS</w:t>
            </w:r>
            <w:r>
              <w:t xml:space="preserve"> </w:t>
            </w:r>
            <w:r w:rsidR="69A33799">
              <w:t xml:space="preserve">level) </w:t>
            </w:r>
            <w:proofErr w:type="gramStart"/>
            <w:r w:rsidR="1D2F0F38">
              <w:t>on the basis of</w:t>
            </w:r>
            <w:proofErr w:type="gramEnd"/>
            <w:r w:rsidR="1D2F0F38">
              <w:t xml:space="preserve"> the SCO approved by the Commission decision approving the programme or its amendment or set out in the delegated act</w:t>
            </w:r>
            <w:r>
              <w:t>.</w:t>
            </w:r>
          </w:p>
        </w:tc>
        <w:tc>
          <w:tcPr>
            <w:tcW w:w="3402" w:type="dxa"/>
          </w:tcPr>
          <w:p w14:paraId="5673816F" w14:textId="6FE153A0" w:rsidR="00FD7408" w:rsidRDefault="411D3388" w:rsidP="00ED591F">
            <w:pPr>
              <w:spacing w:line="276" w:lineRule="auto"/>
              <w:cnfStyle w:val="000000100000" w:firstRow="0" w:lastRow="0" w:firstColumn="0" w:lastColumn="0" w:oddVBand="0" w:evenVBand="0" w:oddHBand="1" w:evenHBand="0" w:firstRowFirstColumn="0" w:firstRowLastColumn="0" w:lastRowFirstColumn="0" w:lastRowLastColumn="0"/>
            </w:pPr>
            <w:r>
              <w:t xml:space="preserve">The Member State reimburses </w:t>
            </w:r>
            <w:r w:rsidR="62A416A6">
              <w:t>the beneficiary (MS-beneficiary level) in the form of a SCO</w:t>
            </w:r>
            <w:r w:rsidR="0DDCDACD">
              <w:t xml:space="preserve"> and the same expenditure is declared to the Commission.</w:t>
            </w:r>
            <w:r w:rsidR="044D1821">
              <w:t xml:space="preserve"> </w:t>
            </w:r>
            <w:r w:rsidR="106A9202">
              <w:t xml:space="preserve"> </w:t>
            </w:r>
          </w:p>
        </w:tc>
      </w:tr>
      <w:tr w:rsidR="008E355B" w14:paraId="5A0064E2" w14:textId="77777777" w:rsidTr="30D7A848">
        <w:tc>
          <w:tcPr>
            <w:cnfStyle w:val="001000000000" w:firstRow="0" w:lastRow="0" w:firstColumn="1" w:lastColumn="0" w:oddVBand="0" w:evenVBand="0" w:oddHBand="0" w:evenHBand="0" w:firstRowFirstColumn="0" w:firstRowLastColumn="0" w:lastRowFirstColumn="0" w:lastRowLastColumn="0"/>
            <w:tcW w:w="2416" w:type="dxa"/>
          </w:tcPr>
          <w:p w14:paraId="09AD8090" w14:textId="1815DEF0" w:rsidR="008E355B" w:rsidRDefault="008E355B" w:rsidP="00FD7408">
            <w:r>
              <w:t>Scope of management verifications and audit</w:t>
            </w:r>
          </w:p>
        </w:tc>
        <w:tc>
          <w:tcPr>
            <w:tcW w:w="3249" w:type="dxa"/>
          </w:tcPr>
          <w:p w14:paraId="6029CFBB" w14:textId="1F9ECFAA" w:rsidR="008E355B" w:rsidRDefault="008E355B" w:rsidP="00FD7408">
            <w:pPr>
              <w:cnfStyle w:val="000000000000" w:firstRow="0" w:lastRow="0" w:firstColumn="0" w:lastColumn="0" w:oddVBand="0" w:evenVBand="0" w:oddHBand="0" w:evenHBand="0" w:firstRowFirstColumn="0" w:firstRowLastColumn="0" w:lastRowFirstColumn="0" w:lastRowLastColumn="0"/>
            </w:pPr>
            <w:r>
              <w:t xml:space="preserve">Fulfilment of the conditions for reimbursement set out in </w:t>
            </w:r>
            <w:r w:rsidRPr="008E355B">
              <w:t>Appendix 1 of Annexes V and VI CPR</w:t>
            </w:r>
          </w:p>
        </w:tc>
        <w:tc>
          <w:tcPr>
            <w:tcW w:w="3402" w:type="dxa"/>
          </w:tcPr>
          <w:p w14:paraId="2856D466" w14:textId="3F18E2AA" w:rsidR="008E355B" w:rsidRDefault="008E355B" w:rsidP="00FD7408">
            <w:pPr>
              <w:cnfStyle w:val="000000000000" w:firstRow="0" w:lastRow="0" w:firstColumn="0" w:lastColumn="0" w:oddVBand="0" w:evenVBand="0" w:oddHBand="0" w:evenHBand="0" w:firstRowFirstColumn="0" w:firstRowLastColumn="0" w:lastRowFirstColumn="0" w:lastRowLastColumn="0"/>
            </w:pPr>
            <w:r>
              <w:t>The methodology used to set up the SCOs</w:t>
            </w:r>
            <w:r w:rsidR="002D7741">
              <w:rPr>
                <w:rStyle w:val="FootnoteReference"/>
              </w:rPr>
              <w:footnoteReference w:id="5"/>
            </w:r>
          </w:p>
          <w:p w14:paraId="3F131459" w14:textId="13530BBC" w:rsidR="008E355B" w:rsidRDefault="008E355B" w:rsidP="00FD7408">
            <w:pPr>
              <w:cnfStyle w:val="000000000000" w:firstRow="0" w:lastRow="0" w:firstColumn="0" w:lastColumn="0" w:oddVBand="0" w:evenVBand="0" w:oddHBand="0" w:evenHBand="0" w:firstRowFirstColumn="0" w:firstRowLastColumn="0" w:lastRowFirstColumn="0" w:lastRowLastColumn="0"/>
            </w:pPr>
            <w:r>
              <w:t>The application of the SCO methodology</w:t>
            </w:r>
          </w:p>
        </w:tc>
      </w:tr>
      <w:tr w:rsidR="00FD7408" w14:paraId="0B54A74F" w14:textId="77777777" w:rsidTr="30D7A8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6" w:type="dxa"/>
          </w:tcPr>
          <w:p w14:paraId="2B8295F7" w14:textId="6F02505F" w:rsidR="00FD7408" w:rsidRDefault="7D4F904C" w:rsidP="00FD7408">
            <w:r>
              <w:lastRenderedPageBreak/>
              <w:t xml:space="preserve">Management verifications </w:t>
            </w:r>
            <w:r w:rsidR="476C5D18">
              <w:t>and audit do NOT cover</w:t>
            </w:r>
          </w:p>
        </w:tc>
        <w:tc>
          <w:tcPr>
            <w:tcW w:w="3249" w:type="dxa"/>
          </w:tcPr>
          <w:p w14:paraId="6B3C5F22" w14:textId="77777777" w:rsidR="00DD1996" w:rsidRDefault="00DD1996" w:rsidP="00DD1996">
            <w:pPr>
              <w:cnfStyle w:val="000000100000" w:firstRow="0" w:lastRow="0" w:firstColumn="0" w:lastColumn="0" w:oddVBand="0" w:evenVBand="0" w:oddHBand="1" w:evenHBand="0" w:firstRowFirstColumn="0" w:firstRowLastColumn="0" w:lastRowFirstColumn="0" w:lastRowLastColumn="0"/>
            </w:pPr>
            <w:r>
              <w:t>Underlying real costs (except for the real costs used as a basis for calculating flat rate financing)</w:t>
            </w:r>
          </w:p>
          <w:p w14:paraId="5AFBA12E" w14:textId="6E7A97A7" w:rsidR="00FD7408" w:rsidRDefault="00FD7408" w:rsidP="00FD7408">
            <w:pPr>
              <w:cnfStyle w:val="000000100000" w:firstRow="0" w:lastRow="0" w:firstColumn="0" w:lastColumn="0" w:oddVBand="0" w:evenVBand="0" w:oddHBand="1" w:evenHBand="0" w:firstRowFirstColumn="0" w:firstRowLastColumn="0" w:lastRowFirstColumn="0" w:lastRowLastColumn="0"/>
            </w:pPr>
            <w:r>
              <w:t>The methodology used to set out the SCO, adopted either by the Commission decision approving the programme or its amendment, or by delegated act.</w:t>
            </w:r>
          </w:p>
          <w:p w14:paraId="74A80939" w14:textId="507D9954" w:rsidR="00FD7408" w:rsidRDefault="7E802660" w:rsidP="00FD7408">
            <w:pPr>
              <w:cnfStyle w:val="000000100000" w:firstRow="0" w:lastRow="0" w:firstColumn="0" w:lastColumn="0" w:oddVBand="0" w:evenVBand="0" w:oddHBand="1" w:evenHBand="0" w:firstRowFirstColumn="0" w:firstRowLastColumn="0" w:lastRowFirstColumn="0" w:lastRowLastColumn="0"/>
            </w:pPr>
            <w:r>
              <w:t xml:space="preserve">Please </w:t>
            </w:r>
            <w:r w:rsidR="476C5D18">
              <w:t xml:space="preserve">see </w:t>
            </w:r>
            <w:r w:rsidR="4F80E75C">
              <w:t xml:space="preserve">also </w:t>
            </w:r>
            <w:r w:rsidR="00037F8D">
              <w:t>chapter 6.</w:t>
            </w:r>
          </w:p>
        </w:tc>
        <w:tc>
          <w:tcPr>
            <w:tcW w:w="3402" w:type="dxa"/>
          </w:tcPr>
          <w:p w14:paraId="606145D2" w14:textId="03D3EFED" w:rsidR="00FD7408" w:rsidRDefault="00FD7408" w:rsidP="00FD7408">
            <w:pPr>
              <w:cnfStyle w:val="000000100000" w:firstRow="0" w:lastRow="0" w:firstColumn="0" w:lastColumn="0" w:oddVBand="0" w:evenVBand="0" w:oddHBand="1" w:evenHBand="0" w:firstRowFirstColumn="0" w:firstRowLastColumn="0" w:lastRowFirstColumn="0" w:lastRowLastColumn="0"/>
            </w:pPr>
            <w:r>
              <w:t>Underlying real costs (except for the real costs used as a basis for calculating flat rate financing)</w:t>
            </w:r>
          </w:p>
          <w:p w14:paraId="4BBFE34C" w14:textId="4175FA49" w:rsidR="00FD7408" w:rsidRDefault="476C5D18" w:rsidP="00FD7408">
            <w:pPr>
              <w:cnfStyle w:val="000000100000" w:firstRow="0" w:lastRow="0" w:firstColumn="0" w:lastColumn="0" w:oddVBand="0" w:evenVBand="0" w:oddHBand="1" w:evenHBand="0" w:firstRowFirstColumn="0" w:firstRowLastColumn="0" w:lastRowFirstColumn="0" w:lastRowLastColumn="0"/>
            </w:pPr>
            <w:r>
              <w:t xml:space="preserve">The methodologies used to calculate the </w:t>
            </w:r>
            <w:r w:rsidR="32ADB7A6">
              <w:t>off the shelf SCO</w:t>
            </w:r>
            <w:r w:rsidR="496EB141">
              <w:t xml:space="preserve">s </w:t>
            </w:r>
            <w:r w:rsidR="00FF6AF8">
              <w:t>(</w:t>
            </w:r>
            <w:r w:rsidR="3C4B9930">
              <w:t xml:space="preserve">except for </w:t>
            </w:r>
            <w:r>
              <w:t>Article 5</w:t>
            </w:r>
            <w:r w:rsidR="257AFA84">
              <w:t>4</w:t>
            </w:r>
            <w:r>
              <w:t>(</w:t>
            </w:r>
            <w:r w:rsidR="125FCBBD">
              <w:t>c</w:t>
            </w:r>
            <w:r>
              <w:t>)CPR</w:t>
            </w:r>
            <w:r w:rsidR="00FF6AF8">
              <w:t>)</w:t>
            </w:r>
            <w:r w:rsidR="63598BD4">
              <w:t xml:space="preserve"> </w:t>
            </w:r>
          </w:p>
        </w:tc>
      </w:tr>
    </w:tbl>
    <w:p w14:paraId="64F2AA04" w14:textId="6C255B96" w:rsidR="2711E1BB" w:rsidRDefault="2711E1BB"/>
    <w:p w14:paraId="23142E0C" w14:textId="42EEB8BC" w:rsidR="00084112" w:rsidRPr="002B63BA" w:rsidRDefault="48C771D0" w:rsidP="00B32403">
      <w:pPr>
        <w:pStyle w:val="Heading2"/>
        <w:numPr>
          <w:ilvl w:val="1"/>
          <w:numId w:val="6"/>
        </w:numPr>
        <w:rPr>
          <w:b/>
          <w:bCs/>
          <w:color w:val="4472C4" w:themeColor="accent1"/>
        </w:rPr>
      </w:pPr>
      <w:bookmarkStart w:id="6" w:name="_Toc168350290"/>
      <w:bookmarkEnd w:id="5"/>
      <w:r w:rsidRPr="4AF773E3">
        <w:rPr>
          <w:b/>
          <w:bCs/>
          <w:color w:val="4472C4" w:themeColor="accent1"/>
        </w:rPr>
        <w:t>Optional and mandatory use of simplified cost options</w:t>
      </w:r>
      <w:bookmarkEnd w:id="6"/>
    </w:p>
    <w:p w14:paraId="71439253" w14:textId="75138348" w:rsidR="0029503B" w:rsidRDefault="0029503B" w:rsidP="00B32403">
      <w:pPr>
        <w:pStyle w:val="Style3"/>
      </w:pPr>
      <w:r w:rsidRPr="0029503B">
        <w:t>The principle: optional use of SCOs</w:t>
      </w:r>
    </w:p>
    <w:p w14:paraId="5D0A1705" w14:textId="41CFDE00" w:rsidR="00084112" w:rsidRPr="00084112" w:rsidRDefault="6C712FF2" w:rsidP="00B32403">
      <w:r>
        <w:t xml:space="preserve">The use of simplified cost options is </w:t>
      </w:r>
      <w:r w:rsidR="77C1B631">
        <w:t>optional</w:t>
      </w:r>
      <w:r>
        <w:t xml:space="preserve"> for the Member States</w:t>
      </w:r>
      <w:r w:rsidR="77C1B631">
        <w:t xml:space="preserve"> at “upper level” and “lower level”, </w:t>
      </w:r>
      <w:r>
        <w:t xml:space="preserve">with the exception </w:t>
      </w:r>
      <w:r w:rsidR="77C1B631">
        <w:t>described below in this section.</w:t>
      </w:r>
      <w:r w:rsidR="199E3187">
        <w:t xml:space="preserve"> </w:t>
      </w:r>
      <w:r w:rsidR="6ABB86FF">
        <w:t>Once the Commission adopted a decision approv</w:t>
      </w:r>
      <w:r w:rsidR="3111AB8C">
        <w:t>ing</w:t>
      </w:r>
      <w:r w:rsidR="6ABB86FF">
        <w:t xml:space="preserve"> SCOs in the programme, the Union contribution </w:t>
      </w:r>
      <w:r w:rsidR="26FB4A72">
        <w:t>to the Member State is</w:t>
      </w:r>
      <w:r w:rsidR="6ABB86FF">
        <w:t xml:space="preserve"> reimbursed in this form</w:t>
      </w:r>
      <w:r w:rsidR="7434351F">
        <w:t xml:space="preserve"> and cannot be claimed by the Member State </w:t>
      </w:r>
      <w:proofErr w:type="gramStart"/>
      <w:r w:rsidR="7434351F">
        <w:t>on the basis of</w:t>
      </w:r>
      <w:proofErr w:type="gramEnd"/>
      <w:r w:rsidR="7434351F">
        <w:t xml:space="preserve"> Article 51(b) CPR, i.e.</w:t>
      </w:r>
      <w:r w:rsidR="000A2B88">
        <w:t>,</w:t>
      </w:r>
      <w:r w:rsidR="7434351F">
        <w:t xml:space="preserve"> support paid to the beneficiary</w:t>
      </w:r>
      <w:r w:rsidR="6ABB86FF">
        <w:t xml:space="preserve">. </w:t>
      </w:r>
      <w:r w:rsidR="77C1B631">
        <w:t xml:space="preserve"> </w:t>
      </w:r>
      <w:r w:rsidR="5BD32A62">
        <w:t xml:space="preserve">At “lower level”, </w:t>
      </w:r>
      <w:r w:rsidR="0B674CB7">
        <w:t>t</w:t>
      </w:r>
      <w:r>
        <w:t>he managing authority</w:t>
      </w:r>
      <w:r w:rsidR="52326BD0">
        <w:t>,</w:t>
      </w:r>
      <w:r>
        <w:t xml:space="preserve"> or the monitoring committee </w:t>
      </w:r>
      <w:r w:rsidR="670CEDDD">
        <w:t>in the case of</w:t>
      </w:r>
      <w:r>
        <w:t xml:space="preserve"> Interreg programmes, may decide to make </w:t>
      </w:r>
      <w:r w:rsidR="56C6EA53">
        <w:t>the</w:t>
      </w:r>
      <w:r>
        <w:t xml:space="preserve"> use</w:t>
      </w:r>
      <w:r w:rsidR="1F2E9CB3">
        <w:t xml:space="preserve"> of SCOs</w:t>
      </w:r>
      <w:r>
        <w:t xml:space="preserve"> optional or compulsory for all or certain categories of projects and activities and for all or part of an operation. </w:t>
      </w:r>
      <w:r w:rsidR="77C1B631">
        <w:t>To</w:t>
      </w:r>
      <w:r>
        <w:t xml:space="preserve"> ensure respect of the principles of transparency </w:t>
      </w:r>
      <w:r>
        <w:t xml:space="preserve">and equal treatment of beneficiaries, the scope of the simplified cost options to be applied, </w:t>
      </w:r>
      <w:r w:rsidR="3417F3E7">
        <w:t>i.e.</w:t>
      </w:r>
      <w:r w:rsidR="000A2B88">
        <w:t>,</w:t>
      </w:r>
      <w:r>
        <w:t xml:space="preserve"> the category of </w:t>
      </w:r>
      <w:r w:rsidR="73C85C82">
        <w:t>operations</w:t>
      </w:r>
      <w:r>
        <w:t xml:space="preserve"> and activities for which they will be available, should be </w:t>
      </w:r>
      <w:r>
        <w:t>specified and published in the call for proposals.</w:t>
      </w:r>
    </w:p>
    <w:p w14:paraId="59B88B64" w14:textId="3F7B5773" w:rsidR="0029503B" w:rsidRDefault="0029503B" w:rsidP="00B32403">
      <w:pPr>
        <w:pStyle w:val="Style3"/>
      </w:pPr>
      <w:r w:rsidRPr="0029503B">
        <w:t>The exception: cases where the use of simplified cost options is mandatory</w:t>
      </w:r>
    </w:p>
    <w:p w14:paraId="15C57604" w14:textId="35CDF4B8" w:rsidR="00F03032" w:rsidRDefault="115FCE94" w:rsidP="4AF773E3">
      <w:pPr>
        <w:rPr>
          <w:rFonts w:ascii="Calibri" w:eastAsia="Calibri" w:hAnsi="Calibri" w:cs="Calibri"/>
        </w:rPr>
      </w:pPr>
      <w:r>
        <w:t xml:space="preserve">In accordance with Article 53(2) </w:t>
      </w:r>
      <w:r w:rsidR="7FF4BBC1">
        <w:t xml:space="preserve">first subparagraph </w:t>
      </w:r>
      <w:r>
        <w:t xml:space="preserve">CPR, where the total cost of an operation </w:t>
      </w:r>
      <w:r w:rsidRPr="4AF773E3">
        <w:rPr>
          <w:b/>
          <w:bCs/>
          <w:color w:val="4471C4"/>
        </w:rPr>
        <w:t>does not exceed EUR 200 000</w:t>
      </w:r>
      <w:r>
        <w:t xml:space="preserve"> the contribution provided to the beneficiary from the ERDF, the ESF+, the JTF, the AMIF, the ISF and the BMVI </w:t>
      </w:r>
      <w:r w:rsidR="4F22BB6B">
        <w:t xml:space="preserve">should </w:t>
      </w:r>
      <w:r>
        <w:t xml:space="preserve">take the form of unit costs, lump </w:t>
      </w:r>
      <w:proofErr w:type="gramStart"/>
      <w:r>
        <w:t>sums</w:t>
      </w:r>
      <w:proofErr w:type="gramEnd"/>
      <w:r>
        <w:t xml:space="preserve"> or flat rates</w:t>
      </w:r>
      <w:r w:rsidR="5AD46C49">
        <w:t>, except for operations for which the support constitutes State aid</w:t>
      </w:r>
      <w:r>
        <w:t xml:space="preserve">. </w:t>
      </w:r>
      <w:r w:rsidR="6539741A">
        <w:t>The purpose of this provision is to limit controls on real costs because such controls would not be cost efficient considering the low value of these operations</w:t>
      </w:r>
      <w:r w:rsidR="00744A7B">
        <w:t>.</w:t>
      </w:r>
      <w:r w:rsidR="6539741A" w:rsidRPr="4AF773E3">
        <w:rPr>
          <w:rFonts w:ascii="Calibri" w:eastAsia="Calibri" w:hAnsi="Calibri" w:cs="Calibri"/>
        </w:rPr>
        <w:t xml:space="preserve"> </w:t>
      </w:r>
    </w:p>
    <w:p w14:paraId="0629C625" w14:textId="508FF0D6" w:rsidR="00186BF7" w:rsidRPr="00F03032" w:rsidRDefault="4B32F692" w:rsidP="4AF773E3">
      <w:r w:rsidRPr="00186BF7">
        <w:t xml:space="preserve">For </w:t>
      </w:r>
      <w:r w:rsidRPr="0023581C">
        <w:rPr>
          <w:b/>
          <w:bCs/>
          <w:color w:val="4472C4" w:themeColor="accent1"/>
        </w:rPr>
        <w:t>small projects financed through small project funds within an Interreg programme</w:t>
      </w:r>
      <w:r w:rsidRPr="00186BF7">
        <w:t xml:space="preserve"> (Article 25(6) Interreg Regulation</w:t>
      </w:r>
      <w:r w:rsidR="00186BF7" w:rsidRPr="00186BF7">
        <w:rPr>
          <w:vertAlign w:val="superscript"/>
        </w:rPr>
        <w:footnoteReference w:id="6"/>
      </w:r>
      <w:r w:rsidRPr="00186BF7">
        <w:t xml:space="preserve">), the contribution from ERDF </w:t>
      </w:r>
      <w:proofErr w:type="gramStart"/>
      <w:r w:rsidRPr="00186BF7">
        <w:t>has to</w:t>
      </w:r>
      <w:proofErr w:type="gramEnd"/>
      <w:r w:rsidRPr="00186BF7">
        <w:t xml:space="preserve"> take the form of simplified cost options where the </w:t>
      </w:r>
      <w:bookmarkStart w:id="7" w:name="_Hlk164440201"/>
      <w:r w:rsidRPr="0023581C">
        <w:rPr>
          <w:b/>
          <w:bCs/>
          <w:color w:val="4472C4" w:themeColor="accent1"/>
        </w:rPr>
        <w:t xml:space="preserve">public contribution to a </w:t>
      </w:r>
      <w:r w:rsidR="7461A71D" w:rsidRPr="59168D73">
        <w:rPr>
          <w:b/>
          <w:bCs/>
          <w:color w:val="4472C4" w:themeColor="accent1"/>
        </w:rPr>
        <w:t xml:space="preserve">final </w:t>
      </w:r>
      <w:r w:rsidR="63D23511" w:rsidRPr="59168D73">
        <w:rPr>
          <w:b/>
          <w:bCs/>
          <w:color w:val="4472C4" w:themeColor="accent1"/>
        </w:rPr>
        <w:t xml:space="preserve">recipient </w:t>
      </w:r>
      <w:r w:rsidR="47A5A4BD" w:rsidRPr="59168D73">
        <w:rPr>
          <w:b/>
          <w:bCs/>
          <w:color w:val="4472C4" w:themeColor="accent1"/>
        </w:rPr>
        <w:t xml:space="preserve">implementing the </w:t>
      </w:r>
      <w:r w:rsidRPr="0023581C">
        <w:rPr>
          <w:b/>
          <w:bCs/>
          <w:color w:val="4472C4" w:themeColor="accent1"/>
        </w:rPr>
        <w:t>small project</w:t>
      </w:r>
      <w:r w:rsidRPr="00186BF7">
        <w:t xml:space="preserve"> </w:t>
      </w:r>
      <w:r w:rsidRPr="0023581C">
        <w:rPr>
          <w:b/>
          <w:bCs/>
          <w:color w:val="4472C4" w:themeColor="accent1"/>
        </w:rPr>
        <w:t>does not exceed EUR 100 000</w:t>
      </w:r>
      <w:bookmarkEnd w:id="7"/>
      <w:r w:rsidRPr="00186BF7">
        <w:t xml:space="preserve">. </w:t>
      </w:r>
    </w:p>
    <w:p w14:paraId="6A911C87" w14:textId="6F8470CF" w:rsidR="00186BF7" w:rsidRPr="00F03032" w:rsidRDefault="7C104B2C" w:rsidP="00B32403">
      <w:pPr>
        <w:rPr>
          <w:noProof/>
        </w:rPr>
      </w:pPr>
      <w:r>
        <w:t>The amount</w:t>
      </w:r>
      <w:r w:rsidR="104705E4">
        <w:t>s to be considered for the application of Article 53(2) CPR</w:t>
      </w:r>
      <w:r>
        <w:t xml:space="preserve"> </w:t>
      </w:r>
      <w:r w:rsidR="49B923C9">
        <w:t>are</w:t>
      </w:r>
      <w:r>
        <w:t xml:space="preserve"> the one</w:t>
      </w:r>
      <w:r w:rsidR="233EE664">
        <w:t>s</w:t>
      </w:r>
      <w:r>
        <w:t xml:space="preserve"> </w:t>
      </w:r>
      <w:r w:rsidR="682B1A96">
        <w:t xml:space="preserve">defined </w:t>
      </w:r>
      <w:r>
        <w:t xml:space="preserve">at the signature of the document setting out the conditions for support. The costs actually incurred </w:t>
      </w:r>
      <w:r w:rsidR="3DA6C11B">
        <w:t>in the implementation of the operation or of the small project</w:t>
      </w:r>
      <w:r w:rsidR="46E795F2">
        <w:t xml:space="preserve"> are</w:t>
      </w:r>
      <w:r w:rsidR="3DA6C11B">
        <w:t xml:space="preserve"> </w:t>
      </w:r>
      <w:r w:rsidR="423E8E44">
        <w:t>no</w:t>
      </w:r>
      <w:r w:rsidR="58170C3B">
        <w:t>t</w:t>
      </w:r>
      <w:r w:rsidR="423E8E44">
        <w:t xml:space="preserve"> relevant since these are no longer part of the cost calculation and reimbursement method of the operation</w:t>
      </w:r>
      <w:r w:rsidR="1C045A6B">
        <w:t xml:space="preserve"> or of the small project</w:t>
      </w:r>
      <w:r>
        <w:t>.</w:t>
      </w:r>
      <w:r w:rsidRPr="4AF773E3">
        <w:rPr>
          <w:noProof/>
        </w:rPr>
        <w:t xml:space="preserve"> </w:t>
      </w:r>
    </w:p>
    <w:p w14:paraId="28551B8C" w14:textId="495FE18C" w:rsidR="006B647C" w:rsidRDefault="7063523B" w:rsidP="4AF773E3">
      <w:pPr>
        <w:rPr>
          <w:rFonts w:ascii="Calibri" w:eastAsia="Calibri" w:hAnsi="Calibri" w:cs="Calibri"/>
        </w:rPr>
      </w:pPr>
      <w:r>
        <w:t>Mandatory use of simplified cost options applies at the level of the operation to be co-financed. This means that the elements relevant for the application of the mandatory use of SCOs are the definition of the operation and the beneficiary</w:t>
      </w:r>
      <w:r w:rsidR="2DB0DB47">
        <w:t xml:space="preserve">, </w:t>
      </w:r>
      <w:proofErr w:type="gramStart"/>
      <w:r w:rsidR="2DB0DB47">
        <w:t>with the exception of</w:t>
      </w:r>
      <w:proofErr w:type="gramEnd"/>
      <w:r w:rsidR="2DB0DB47">
        <w:t xml:space="preserve"> small project funds in Interre</w:t>
      </w:r>
      <w:r w:rsidR="57AC5F97">
        <w:t>g programmes (see above)</w:t>
      </w:r>
      <w:r>
        <w:t xml:space="preserve">. </w:t>
      </w:r>
    </w:p>
    <w:p w14:paraId="559B2B8F" w14:textId="28A13E54" w:rsidR="00F03032" w:rsidRPr="00ED591F" w:rsidRDefault="7EFBF8A0" w:rsidP="00B32403">
      <w:pPr>
        <w:rPr>
          <w:rFonts w:ascii="Calibri" w:eastAsia="Calibri" w:hAnsi="Calibri" w:cs="Calibri"/>
          <w:b/>
          <w:bCs/>
          <w:color w:val="2F5496" w:themeColor="accent1" w:themeShade="BF"/>
        </w:rPr>
      </w:pPr>
      <w:r w:rsidRPr="4AF773E3">
        <w:rPr>
          <w:rFonts w:ascii="Calibri" w:eastAsia="Calibri" w:hAnsi="Calibri" w:cs="Calibri"/>
        </w:rPr>
        <w:lastRenderedPageBreak/>
        <w:t xml:space="preserve">The mandatory use of SCO also applies in case grants provided by Member States to beneficiaries in the technical assistance operations where the total cost of such operations does not exceed EUR 200 000. Therefore, there is </w:t>
      </w:r>
      <w:r w:rsidRPr="4AF773E3">
        <w:rPr>
          <w:rFonts w:ascii="Calibri" w:eastAsia="Calibri" w:hAnsi="Calibri" w:cs="Calibri"/>
          <w:b/>
          <w:bCs/>
          <w:color w:val="4472C4" w:themeColor="accent1"/>
        </w:rPr>
        <w:t>no exemption provided for technical assistance</w:t>
      </w:r>
      <w:r w:rsidRPr="4AF773E3">
        <w:rPr>
          <w:rFonts w:ascii="Calibri" w:eastAsia="Calibri" w:hAnsi="Calibri" w:cs="Calibri"/>
          <w:b/>
          <w:bCs/>
          <w:color w:val="2F5496" w:themeColor="accent1" w:themeShade="BF"/>
        </w:rPr>
        <w:t xml:space="preserve"> </w:t>
      </w:r>
      <w:r w:rsidRPr="00ED591F">
        <w:rPr>
          <w:rFonts w:ascii="Calibri" w:eastAsia="Calibri" w:hAnsi="Calibri" w:cs="Calibri"/>
          <w:b/>
          <w:bCs/>
          <w:color w:val="4472C4" w:themeColor="accent1"/>
        </w:rPr>
        <w:t>operations.</w:t>
      </w:r>
    </w:p>
    <w:p w14:paraId="3CE2FB78" w14:textId="1240299E" w:rsidR="00F03032" w:rsidRPr="00F03032" w:rsidRDefault="00F03032" w:rsidP="00B32403">
      <w:r w:rsidRPr="00F03032">
        <w:t xml:space="preserve">There are </w:t>
      </w:r>
      <w:r w:rsidRPr="0023581C">
        <w:rPr>
          <w:b/>
          <w:bCs/>
          <w:color w:val="4472C4" w:themeColor="accent1"/>
        </w:rPr>
        <w:t>two exceptions</w:t>
      </w:r>
      <w:r w:rsidRPr="00F03032">
        <w:t xml:space="preserve"> to th</w:t>
      </w:r>
      <w:r w:rsidR="00152581">
        <w:t>e</w:t>
      </w:r>
      <w:r w:rsidRPr="00F03032">
        <w:t xml:space="preserve"> </w:t>
      </w:r>
      <w:r w:rsidR="00152581">
        <w:t>requirement of mandatory use of SCOs</w:t>
      </w:r>
      <w:r w:rsidRPr="00F03032">
        <w:t>:</w:t>
      </w:r>
    </w:p>
    <w:p w14:paraId="6AD6015C" w14:textId="268D6480" w:rsidR="00F03032" w:rsidRPr="006B654A" w:rsidRDefault="00F03032" w:rsidP="00B32403">
      <w:pPr>
        <w:pStyle w:val="ListParagraph"/>
        <w:numPr>
          <w:ilvl w:val="0"/>
          <w:numId w:val="21"/>
        </w:numPr>
      </w:pPr>
      <w:r w:rsidRPr="0023581C">
        <w:rPr>
          <w:b/>
          <w:bCs/>
          <w:color w:val="4472C4" w:themeColor="accent1"/>
        </w:rPr>
        <w:t>Operations receiving support within the framework of State aid</w:t>
      </w:r>
      <w:r w:rsidR="005870C4" w:rsidRPr="006B654A">
        <w:t>. This exception does not apply to de minimis aid. However, the</w:t>
      </w:r>
      <w:r w:rsidRPr="006B654A">
        <w:t xml:space="preserve"> exception </w:t>
      </w:r>
      <w:r w:rsidR="005870C4" w:rsidRPr="006B654A">
        <w:t>does apply</w:t>
      </w:r>
      <w:r w:rsidRPr="006B654A">
        <w:t xml:space="preserve"> in case of combination of State aid and de minimis aid in the same operation.</w:t>
      </w:r>
    </w:p>
    <w:p w14:paraId="2EFF0D4D" w14:textId="1F025D0B" w:rsidR="00F03032" w:rsidRPr="006B654A" w:rsidRDefault="00F03032" w:rsidP="00B32403">
      <w:pPr>
        <w:pStyle w:val="ListParagraph"/>
        <w:numPr>
          <w:ilvl w:val="0"/>
          <w:numId w:val="21"/>
        </w:numPr>
      </w:pPr>
      <w:r w:rsidRPr="006B654A">
        <w:t xml:space="preserve">The managing authority may agree to exempt </w:t>
      </w:r>
      <w:r w:rsidRPr="0023581C">
        <w:rPr>
          <w:b/>
          <w:bCs/>
          <w:color w:val="4472C4" w:themeColor="accent1"/>
        </w:rPr>
        <w:t xml:space="preserve">some operations </w:t>
      </w:r>
      <w:proofErr w:type="gramStart"/>
      <w:r w:rsidRPr="0023581C">
        <w:rPr>
          <w:b/>
          <w:bCs/>
          <w:color w:val="4472C4" w:themeColor="accent1"/>
        </w:rPr>
        <w:t>in the area of</w:t>
      </w:r>
      <w:proofErr w:type="gramEnd"/>
      <w:r w:rsidRPr="0023581C">
        <w:rPr>
          <w:b/>
          <w:bCs/>
          <w:color w:val="4472C4" w:themeColor="accent1"/>
        </w:rPr>
        <w:t xml:space="preserve"> research and innovation</w:t>
      </w:r>
      <w:r w:rsidRPr="006C2BA6">
        <w:rPr>
          <w:rFonts w:eastAsiaTheme="majorEastAsia" w:cstheme="minorHAnsi"/>
          <w:b/>
          <w:bCs/>
          <w:color w:val="2F5496" w:themeColor="accent1" w:themeShade="BF"/>
        </w:rPr>
        <w:t xml:space="preserve"> </w:t>
      </w:r>
      <w:r w:rsidRPr="006B654A">
        <w:t xml:space="preserve">from the requirement set out in Article 53(2) </w:t>
      </w:r>
      <w:r w:rsidR="00FA4E5E">
        <w:t xml:space="preserve">first subparagraph </w:t>
      </w:r>
      <w:r w:rsidRPr="006B654A">
        <w:t>CPR, provided that the monitoring committee has given prior approval for such an exemption. The CPR does not specify criteria for such exemption. It is therefore up to the managing authority to propose such exemption and to ensure it is approved by the monitoring committee.</w:t>
      </w:r>
    </w:p>
    <w:p w14:paraId="09AE0596" w14:textId="513283B8" w:rsidR="00F03032" w:rsidRPr="00F03032" w:rsidRDefault="00F03032" w:rsidP="00B32403">
      <w:r w:rsidRPr="00F03032">
        <w:t xml:space="preserve">When the obligation to use simplified cost options applies, it relates to </w:t>
      </w:r>
      <w:r w:rsidR="00152581" w:rsidRPr="0023581C">
        <w:rPr>
          <w:b/>
          <w:bCs/>
          <w:color w:val="4472C4" w:themeColor="accent1"/>
        </w:rPr>
        <w:t>all categories of</w:t>
      </w:r>
      <w:r w:rsidR="001273DB" w:rsidRPr="0023581C">
        <w:rPr>
          <w:b/>
          <w:bCs/>
          <w:color w:val="4472C4" w:themeColor="accent1"/>
        </w:rPr>
        <w:t xml:space="preserve"> cost</w:t>
      </w:r>
      <w:r w:rsidR="00152581" w:rsidRPr="0023581C">
        <w:rPr>
          <w:b/>
          <w:bCs/>
          <w:color w:val="4472C4" w:themeColor="accent1"/>
        </w:rPr>
        <w:t>s</w:t>
      </w:r>
      <w:r w:rsidRPr="0023581C">
        <w:rPr>
          <w:b/>
          <w:bCs/>
          <w:color w:val="4472C4" w:themeColor="accent1"/>
        </w:rPr>
        <w:t xml:space="preserve"> of </w:t>
      </w:r>
      <w:r w:rsidR="00152581" w:rsidRPr="0023581C">
        <w:rPr>
          <w:b/>
          <w:bCs/>
          <w:color w:val="4472C4" w:themeColor="accent1"/>
        </w:rPr>
        <w:t xml:space="preserve">an </w:t>
      </w:r>
      <w:r w:rsidRPr="0023581C">
        <w:rPr>
          <w:b/>
          <w:bCs/>
          <w:color w:val="4472C4" w:themeColor="accent1"/>
        </w:rPr>
        <w:t>operation</w:t>
      </w:r>
      <w:r w:rsidRPr="00F03032">
        <w:t xml:space="preserve">, with two exceptions </w:t>
      </w:r>
      <w:proofErr w:type="gramStart"/>
      <w:r w:rsidRPr="00F03032">
        <w:t>on the basis of</w:t>
      </w:r>
      <w:proofErr w:type="gramEnd"/>
      <w:r w:rsidRPr="00F03032">
        <w:t xml:space="preserve"> Article 53(2) CPR: </w:t>
      </w:r>
    </w:p>
    <w:p w14:paraId="00BA8216" w14:textId="6633A3F4" w:rsidR="00F03032" w:rsidRPr="00F03032" w:rsidRDefault="00F03032" w:rsidP="00ED591F">
      <w:pPr>
        <w:ind w:left="851" w:hanging="567"/>
      </w:pPr>
      <w:r w:rsidRPr="00F03032">
        <w:t>(1)</w:t>
      </w:r>
      <w:r w:rsidRPr="00F03032">
        <w:tab/>
        <w:t>The categories of costs</w:t>
      </w:r>
      <w:r w:rsidR="00037340">
        <w:t>,</w:t>
      </w:r>
      <w:r w:rsidRPr="00F03032">
        <w:t xml:space="preserve"> to which a flat rate is applied</w:t>
      </w:r>
      <w:r w:rsidR="00152581">
        <w:t xml:space="preserve">, </w:t>
      </w:r>
      <w:r w:rsidRPr="00F03032">
        <w:t xml:space="preserve">may be calculated </w:t>
      </w:r>
      <w:proofErr w:type="gramStart"/>
      <w:r w:rsidRPr="00F03032">
        <w:t>on the basis of</w:t>
      </w:r>
      <w:proofErr w:type="gramEnd"/>
      <w:r w:rsidRPr="00F03032">
        <w:t xml:space="preserve"> real costs (e.g.</w:t>
      </w:r>
      <w:r w:rsidR="002A4B74">
        <w:t>,</w:t>
      </w:r>
      <w:r w:rsidRPr="00F03032">
        <w:t xml:space="preserve"> in case the flat rate of up to 15 % for indirect costs set out in Article 54(b) CPR is used, the eligible direct staff costs may be declared on the basis of real costs)</w:t>
      </w:r>
      <w:r w:rsidR="00ED591F">
        <w:t>;</w:t>
      </w:r>
    </w:p>
    <w:p w14:paraId="0E1D2CE2" w14:textId="7C09EFDA" w:rsidR="00F03032" w:rsidRPr="00F03032" w:rsidRDefault="00F03032" w:rsidP="00ED591F">
      <w:pPr>
        <w:tabs>
          <w:tab w:val="left" w:pos="709"/>
        </w:tabs>
        <w:ind w:left="284"/>
      </w:pPr>
      <w:r w:rsidRPr="00F03032">
        <w:t>(2)</w:t>
      </w:r>
      <w:r w:rsidRPr="00F03032">
        <w:tab/>
      </w:r>
      <w:r w:rsidR="00ED591F">
        <w:t xml:space="preserve"> </w:t>
      </w:r>
      <w:r w:rsidRPr="00F03032">
        <w:t xml:space="preserve">Allowances and salaries paid to participants may be reimbursed </w:t>
      </w:r>
      <w:proofErr w:type="gramStart"/>
      <w:r w:rsidRPr="00F03032">
        <w:t>on the basis of</w:t>
      </w:r>
      <w:proofErr w:type="gramEnd"/>
      <w:r w:rsidRPr="00F03032">
        <w:t xml:space="preserve"> costs actually incurred. </w:t>
      </w:r>
    </w:p>
    <w:p w14:paraId="3F1FBD8E" w14:textId="511EB074" w:rsidR="00186BF7" w:rsidRDefault="5F0D2C9B" w:rsidP="00B32403">
      <w:r>
        <w:t>These exceptions are exhaustive.</w:t>
      </w:r>
    </w:p>
    <w:tbl>
      <w:tblPr>
        <w:tblStyle w:val="GridTable4-Accent1"/>
        <w:tblW w:w="9016" w:type="dxa"/>
        <w:tblLook w:val="04A0" w:firstRow="1" w:lastRow="0" w:firstColumn="1" w:lastColumn="0" w:noHBand="0" w:noVBand="1"/>
      </w:tblPr>
      <w:tblGrid>
        <w:gridCol w:w="3075"/>
        <w:gridCol w:w="3000"/>
        <w:gridCol w:w="2941"/>
      </w:tblGrid>
      <w:tr w:rsidR="006B654A" w14:paraId="1F009919" w14:textId="77777777" w:rsidTr="00ED591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gridSpan w:val="3"/>
          </w:tcPr>
          <w:p w14:paraId="7F8150AA" w14:textId="55114323" w:rsidR="006B654A" w:rsidRPr="006B654A" w:rsidRDefault="07F17196" w:rsidP="00E307B4">
            <w:pPr>
              <w:jc w:val="center"/>
            </w:pPr>
            <w:r>
              <w:t>Possible w</w:t>
            </w:r>
            <w:r w:rsidR="54356296">
              <w:t xml:space="preserve">ays to ensure compliance with the requirements of mandatory use of SCOs </w:t>
            </w:r>
            <w:r w:rsidR="59E0BBA2">
              <w:t>using SCOs established by the CPR</w:t>
            </w:r>
          </w:p>
        </w:tc>
      </w:tr>
      <w:tr w:rsidR="006B654A" w14:paraId="2F3D2B46" w14:textId="77777777" w:rsidTr="00ED59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75" w:type="dxa"/>
          </w:tcPr>
          <w:p w14:paraId="74FE19FD" w14:textId="3A39B998" w:rsidR="006B654A" w:rsidRPr="00186BF7" w:rsidRDefault="006B654A" w:rsidP="00172AB3">
            <w:pPr>
              <w:jc w:val="center"/>
              <w:rPr>
                <w:rFonts w:eastAsiaTheme="majorEastAsia" w:cstheme="minorHAnsi"/>
                <w:color w:val="2F5496" w:themeColor="accent1" w:themeShade="BF"/>
              </w:rPr>
            </w:pPr>
            <w:r w:rsidRPr="00186BF7">
              <w:rPr>
                <w:rFonts w:eastAsiaTheme="majorEastAsia" w:cstheme="minorHAnsi"/>
                <w:color w:val="2F5496" w:themeColor="accent1" w:themeShade="BF"/>
              </w:rPr>
              <w:t>Use of Article 54(a) or (c) CPR</w:t>
            </w:r>
          </w:p>
        </w:tc>
        <w:tc>
          <w:tcPr>
            <w:tcW w:w="3000" w:type="dxa"/>
          </w:tcPr>
          <w:p w14:paraId="5337EACE" w14:textId="7AC0B4FC" w:rsidR="006B654A" w:rsidRPr="00E307B4" w:rsidRDefault="006B654A" w:rsidP="00172AB3">
            <w:pPr>
              <w:jc w:val="center"/>
              <w:cnfStyle w:val="000000100000" w:firstRow="0" w:lastRow="0" w:firstColumn="0" w:lastColumn="0" w:oddVBand="0" w:evenVBand="0" w:oddHBand="1" w:evenHBand="0" w:firstRowFirstColumn="0" w:firstRowLastColumn="0" w:lastRowFirstColumn="0" w:lastRowLastColumn="0"/>
              <w:rPr>
                <w:rFonts w:eastAsiaTheme="majorEastAsia" w:cstheme="minorHAnsi"/>
                <w:b/>
                <w:bCs/>
                <w:color w:val="2F5496" w:themeColor="accent1" w:themeShade="BF"/>
              </w:rPr>
            </w:pPr>
            <w:r w:rsidRPr="00E307B4">
              <w:rPr>
                <w:rFonts w:eastAsiaTheme="majorEastAsia" w:cstheme="minorHAnsi"/>
                <w:b/>
                <w:bCs/>
                <w:color w:val="2F5496" w:themeColor="accent1" w:themeShade="BF"/>
              </w:rPr>
              <w:t>Use of Article 54(b) CPR</w:t>
            </w:r>
          </w:p>
        </w:tc>
        <w:tc>
          <w:tcPr>
            <w:tcW w:w="2941" w:type="dxa"/>
          </w:tcPr>
          <w:p w14:paraId="2337D042" w14:textId="7B657C24" w:rsidR="006B654A" w:rsidRPr="00E307B4" w:rsidRDefault="006B654A" w:rsidP="00172AB3">
            <w:pPr>
              <w:jc w:val="center"/>
              <w:cnfStyle w:val="000000100000" w:firstRow="0" w:lastRow="0" w:firstColumn="0" w:lastColumn="0" w:oddVBand="0" w:evenVBand="0" w:oddHBand="1" w:evenHBand="0" w:firstRowFirstColumn="0" w:firstRowLastColumn="0" w:lastRowFirstColumn="0" w:lastRowLastColumn="0"/>
              <w:rPr>
                <w:rFonts w:eastAsiaTheme="majorEastAsia" w:cstheme="minorHAnsi"/>
                <w:b/>
                <w:bCs/>
                <w:color w:val="2F5496" w:themeColor="accent1" w:themeShade="BF"/>
              </w:rPr>
            </w:pPr>
            <w:r w:rsidRPr="00E307B4">
              <w:rPr>
                <w:rFonts w:eastAsiaTheme="majorEastAsia" w:cstheme="minorHAnsi"/>
                <w:b/>
                <w:bCs/>
                <w:color w:val="2F5496" w:themeColor="accent1" w:themeShade="BF"/>
              </w:rPr>
              <w:t>Use of Article 56(1) and (2) CPR</w:t>
            </w:r>
          </w:p>
        </w:tc>
      </w:tr>
      <w:tr w:rsidR="006B654A" w14:paraId="26AC1839" w14:textId="77777777" w:rsidTr="00ED591F">
        <w:trPr>
          <w:trHeight w:val="300"/>
        </w:trPr>
        <w:tc>
          <w:tcPr>
            <w:cnfStyle w:val="001000000000" w:firstRow="0" w:lastRow="0" w:firstColumn="1" w:lastColumn="0" w:oddVBand="0" w:evenVBand="0" w:oddHBand="0" w:evenHBand="0" w:firstRowFirstColumn="0" w:firstRowLastColumn="0" w:lastRowFirstColumn="0" w:lastRowLastColumn="0"/>
            <w:tcW w:w="3075" w:type="dxa"/>
          </w:tcPr>
          <w:p w14:paraId="38E59B58" w14:textId="7B2504F8" w:rsidR="006B654A" w:rsidRPr="002113B2" w:rsidRDefault="54356296" w:rsidP="00B32403">
            <w:pPr>
              <w:rPr>
                <w:b w:val="0"/>
                <w:bCs w:val="0"/>
              </w:rPr>
            </w:pPr>
            <w:r>
              <w:rPr>
                <w:b w:val="0"/>
                <w:bCs w:val="0"/>
              </w:rPr>
              <w:t xml:space="preserve">Indirect costs = </w:t>
            </w:r>
            <w:r w:rsidR="77D992B9">
              <w:rPr>
                <w:b w:val="0"/>
                <w:bCs w:val="0"/>
              </w:rPr>
              <w:t xml:space="preserve">up to </w:t>
            </w:r>
            <w:r>
              <w:rPr>
                <w:b w:val="0"/>
                <w:bCs w:val="0"/>
              </w:rPr>
              <w:t xml:space="preserve">7 % of </w:t>
            </w:r>
            <w:r w:rsidR="77D992B9">
              <w:rPr>
                <w:b w:val="0"/>
                <w:bCs w:val="0"/>
              </w:rPr>
              <w:t xml:space="preserve">eligible </w:t>
            </w:r>
            <w:r>
              <w:rPr>
                <w:b w:val="0"/>
                <w:bCs w:val="0"/>
              </w:rPr>
              <w:t xml:space="preserve">direct costs (no methodology required) or </w:t>
            </w:r>
            <w:r w:rsidR="77D992B9">
              <w:rPr>
                <w:b w:val="0"/>
                <w:bCs w:val="0"/>
              </w:rPr>
              <w:t xml:space="preserve">up to </w:t>
            </w:r>
            <w:r>
              <w:rPr>
                <w:b w:val="0"/>
                <w:bCs w:val="0"/>
              </w:rPr>
              <w:t>25% of the direct costs (methodology required)</w:t>
            </w:r>
          </w:p>
          <w:p w14:paraId="58B1F837" w14:textId="48C60B78" w:rsidR="00186BF7" w:rsidRPr="00E307B4" w:rsidRDefault="00186BF7" w:rsidP="00B32403">
            <w:pPr>
              <w:rPr>
                <w:b w:val="0"/>
                <w:bCs w:val="0"/>
              </w:rPr>
            </w:pPr>
            <w:r>
              <w:rPr>
                <w:b w:val="0"/>
                <w:bCs w:val="0"/>
              </w:rPr>
              <w:t>Direct costs = real costs</w:t>
            </w:r>
          </w:p>
        </w:tc>
        <w:tc>
          <w:tcPr>
            <w:tcW w:w="3000" w:type="dxa"/>
          </w:tcPr>
          <w:p w14:paraId="445B9FA8" w14:textId="24DA8B35" w:rsidR="00186BF7" w:rsidRDefault="77D992B9" w:rsidP="00B32403">
            <w:pPr>
              <w:cnfStyle w:val="000000000000" w:firstRow="0" w:lastRow="0" w:firstColumn="0" w:lastColumn="0" w:oddVBand="0" w:evenVBand="0" w:oddHBand="0" w:evenHBand="0" w:firstRowFirstColumn="0" w:firstRowLastColumn="0" w:lastRowFirstColumn="0" w:lastRowLastColumn="0"/>
            </w:pPr>
            <w:r>
              <w:t xml:space="preserve">Indirect costs = up to 15% of </w:t>
            </w:r>
            <w:r w:rsidR="67028FA8">
              <w:t xml:space="preserve">eligible </w:t>
            </w:r>
            <w:r w:rsidR="4262FC83">
              <w:t xml:space="preserve">direct </w:t>
            </w:r>
            <w:r>
              <w:t>staff costs (no methodology required)</w:t>
            </w:r>
          </w:p>
          <w:p w14:paraId="3EE71751" w14:textId="77777777" w:rsidR="002A4187" w:rsidRDefault="17D25DCA" w:rsidP="00B32403">
            <w:pPr>
              <w:cnfStyle w:val="000000000000" w:firstRow="0" w:lastRow="0" w:firstColumn="0" w:lastColumn="0" w:oddVBand="0" w:evenVBand="0" w:oddHBand="0" w:evenHBand="0" w:firstRowFirstColumn="0" w:firstRowLastColumn="0" w:lastRowFirstColumn="0" w:lastRowLastColumn="0"/>
            </w:pPr>
            <w:r>
              <w:t xml:space="preserve">Direct </w:t>
            </w:r>
            <w:r w:rsidR="17133BB5">
              <w:t xml:space="preserve">staff </w:t>
            </w:r>
            <w:r>
              <w:t>costs = real costs</w:t>
            </w:r>
          </w:p>
          <w:p w14:paraId="7BA80E85" w14:textId="4AF2CFC3" w:rsidR="002A4B74" w:rsidRDefault="1B03F62A" w:rsidP="00B32403">
            <w:pPr>
              <w:cnfStyle w:val="000000000000" w:firstRow="0" w:lastRow="0" w:firstColumn="0" w:lastColumn="0" w:oddVBand="0" w:evenVBand="0" w:oddHBand="0" w:evenHBand="0" w:firstRowFirstColumn="0" w:firstRowLastColumn="0" w:lastRowFirstColumn="0" w:lastRowLastColumn="0"/>
            </w:pPr>
            <w:r>
              <w:t>All other direct</w:t>
            </w:r>
            <w:r w:rsidR="4262FC83">
              <w:t xml:space="preserve"> costs </w:t>
            </w:r>
            <w:r w:rsidR="58243956">
              <w:t>=</w:t>
            </w:r>
            <w:r w:rsidR="4262FC83">
              <w:t xml:space="preserve"> SCO</w:t>
            </w:r>
          </w:p>
          <w:p w14:paraId="3E8C4360" w14:textId="137A161D" w:rsidR="006B654A" w:rsidRDefault="006B654A" w:rsidP="4AF773E3">
            <w:pPr>
              <w:cnfStyle w:val="000000000000" w:firstRow="0" w:lastRow="0" w:firstColumn="0" w:lastColumn="0" w:oddVBand="0" w:evenVBand="0" w:oddHBand="0" w:evenHBand="0" w:firstRowFirstColumn="0" w:firstRowLastColumn="0" w:lastRowFirstColumn="0" w:lastRowLastColumn="0"/>
            </w:pPr>
          </w:p>
        </w:tc>
        <w:tc>
          <w:tcPr>
            <w:tcW w:w="2941" w:type="dxa"/>
          </w:tcPr>
          <w:p w14:paraId="1AFA7F76" w14:textId="2311038C" w:rsidR="006B654A" w:rsidRPr="006B654A" w:rsidRDefault="67089AC3" w:rsidP="00B32403">
            <w:pPr>
              <w:cnfStyle w:val="000000000000" w:firstRow="0" w:lastRow="0" w:firstColumn="0" w:lastColumn="0" w:oddVBand="0" w:evenVBand="0" w:oddHBand="0" w:evenHBand="0" w:firstRowFirstColumn="0" w:firstRowLastColumn="0" w:lastRowFirstColumn="0" w:lastRowLastColumn="0"/>
            </w:pPr>
            <w:r>
              <w:t>Direct s</w:t>
            </w:r>
            <w:r w:rsidR="17D25DCA">
              <w:t>taff costs = real costs</w:t>
            </w:r>
          </w:p>
          <w:p w14:paraId="591FFB9F" w14:textId="6F1D359E" w:rsidR="006B654A" w:rsidRPr="006B654A" w:rsidRDefault="54356296" w:rsidP="00B32403">
            <w:pPr>
              <w:cnfStyle w:val="000000000000" w:firstRow="0" w:lastRow="0" w:firstColumn="0" w:lastColumn="0" w:oddVBand="0" w:evenVBand="0" w:oddHBand="0" w:evenHBand="0" w:firstRowFirstColumn="0" w:firstRowLastColumn="0" w:lastRowFirstColumn="0" w:lastRowLastColumn="0"/>
            </w:pPr>
            <w:r>
              <w:t xml:space="preserve">Remaining costs = </w:t>
            </w:r>
            <w:r w:rsidR="77D992B9">
              <w:t xml:space="preserve">up to </w:t>
            </w:r>
            <w:r>
              <w:t>40% of</w:t>
            </w:r>
            <w:r w:rsidR="7B12334A">
              <w:t xml:space="preserve"> eligible</w:t>
            </w:r>
            <w:r>
              <w:t xml:space="preserve"> </w:t>
            </w:r>
            <w:r w:rsidR="7F05C7A0">
              <w:t xml:space="preserve">direct </w:t>
            </w:r>
            <w:r>
              <w:t>staff costs (no methodology required)</w:t>
            </w:r>
          </w:p>
          <w:p w14:paraId="26019B35" w14:textId="18377CB5" w:rsidR="006B654A" w:rsidRDefault="006B654A" w:rsidP="00B32403">
            <w:pPr>
              <w:cnfStyle w:val="000000000000" w:firstRow="0" w:lastRow="0" w:firstColumn="0" w:lastColumn="0" w:oddVBand="0" w:evenVBand="0" w:oddHBand="0" w:evenHBand="0" w:firstRowFirstColumn="0" w:firstRowLastColumn="0" w:lastRowFirstColumn="0" w:lastRowLastColumn="0"/>
            </w:pPr>
            <w:r w:rsidRPr="006B654A">
              <w:t>If applicable, salaries and allowances paid to participants may be paid based on real costs (= additional eligible costs)</w:t>
            </w:r>
          </w:p>
        </w:tc>
      </w:tr>
    </w:tbl>
    <w:p w14:paraId="2A2BB542" w14:textId="746CD806" w:rsidR="006B654A" w:rsidRPr="00F03032" w:rsidRDefault="006B654A" w:rsidP="00B32403"/>
    <w:p w14:paraId="64160425" w14:textId="2366993F" w:rsidR="00D61982" w:rsidRPr="00EB0ABF" w:rsidRDefault="007D7CC1" w:rsidP="00B32403">
      <w:pPr>
        <w:pStyle w:val="Style3"/>
      </w:pPr>
      <w:r w:rsidRPr="00EB0ABF">
        <w:br w:type="page"/>
      </w:r>
    </w:p>
    <w:p w14:paraId="06D917A3" w14:textId="77777777" w:rsidR="00340F15" w:rsidRPr="002B63BA" w:rsidRDefault="00690309" w:rsidP="00B32403">
      <w:pPr>
        <w:pStyle w:val="Heading1"/>
        <w:rPr>
          <w:b/>
          <w:bCs/>
        </w:rPr>
      </w:pPr>
      <w:bookmarkStart w:id="8" w:name="_Toc168350291"/>
      <w:r w:rsidRPr="002B63BA">
        <w:rPr>
          <w:b/>
          <w:bCs/>
        </w:rPr>
        <w:lastRenderedPageBreak/>
        <w:t xml:space="preserve">Chapter 2: </w:t>
      </w:r>
      <w:r w:rsidR="00340F15" w:rsidRPr="002B63BA">
        <w:rPr>
          <w:b/>
          <w:bCs/>
        </w:rPr>
        <w:t>Types of simplified cost options</w:t>
      </w:r>
      <w:bookmarkEnd w:id="8"/>
      <w:r w:rsidR="00340F15" w:rsidRPr="002B63BA">
        <w:rPr>
          <w:b/>
          <w:bCs/>
        </w:rPr>
        <w:t xml:space="preserve"> </w:t>
      </w:r>
    </w:p>
    <w:p w14:paraId="585717F6" w14:textId="0BD45333" w:rsidR="00690309" w:rsidRPr="002B63BA" w:rsidRDefault="0073045B" w:rsidP="00ED591F">
      <w:pPr>
        <w:pStyle w:val="Heading2"/>
        <w:numPr>
          <w:ilvl w:val="1"/>
          <w:numId w:val="10"/>
        </w:numPr>
        <w:spacing w:after="120"/>
        <w:rPr>
          <w:b/>
          <w:bCs/>
          <w:color w:val="4472C4" w:themeColor="accent1"/>
        </w:rPr>
      </w:pPr>
      <w:bookmarkStart w:id="9" w:name="_Toc168350292"/>
      <w:r w:rsidRPr="002B63BA">
        <w:rPr>
          <w:b/>
          <w:bCs/>
          <w:color w:val="4472C4" w:themeColor="accent1"/>
        </w:rPr>
        <w:t>Overview of the different types of simplified cost options</w:t>
      </w:r>
      <w:bookmarkEnd w:id="9"/>
    </w:p>
    <w:p w14:paraId="3AD35D14" w14:textId="3EE02992" w:rsidR="001A4219" w:rsidRDefault="00CE1510" w:rsidP="00ED591F">
      <w:r w:rsidRPr="00CE1510">
        <w:t>The CPR, in Article</w:t>
      </w:r>
      <w:r w:rsidR="00F7491E">
        <w:t>s 51 and</w:t>
      </w:r>
      <w:r w:rsidRPr="00CE1510">
        <w:t xml:space="preserve"> 53</w:t>
      </w:r>
      <w:r w:rsidR="00F7491E">
        <w:t>(1)</w:t>
      </w:r>
      <w:r w:rsidRPr="00CE1510">
        <w:t>, includes three types of SCOs, that can be defined as follows:</w:t>
      </w:r>
    </w:p>
    <w:p w14:paraId="70C20AD2" w14:textId="04FD668C" w:rsidR="00CE1510" w:rsidRDefault="2E55F300" w:rsidP="00ED591F">
      <w:pPr>
        <w:pStyle w:val="ListParagraph"/>
        <w:numPr>
          <w:ilvl w:val="0"/>
          <w:numId w:val="22"/>
        </w:numPr>
      </w:pPr>
      <w:r w:rsidRPr="4AF773E3">
        <w:rPr>
          <w:b/>
          <w:bCs/>
          <w:color w:val="4472C4" w:themeColor="accent1"/>
        </w:rPr>
        <w:t>FLAT-RATE FINANCING</w:t>
      </w:r>
      <w:r>
        <w:t xml:space="preserve">: </w:t>
      </w:r>
      <w:r w:rsidR="69D6FBDB">
        <w:t>S</w:t>
      </w:r>
      <w:r>
        <w:t>pecific categories of eligible costs clearly identified in advance</w:t>
      </w:r>
      <w:r w:rsidR="4888060A">
        <w:t>,</w:t>
      </w:r>
      <w:r>
        <w:t xml:space="preserve"> are calculated by applying a percentage</w:t>
      </w:r>
      <w:r w:rsidR="69D6FBDB">
        <w:t xml:space="preserve"> that is </w:t>
      </w:r>
      <w:r w:rsidR="256CC422">
        <w:t>established in advance</w:t>
      </w:r>
      <w:r>
        <w:t xml:space="preserve"> to one or several </w:t>
      </w:r>
      <w:r w:rsidRPr="00ED591F">
        <w:rPr>
          <w:b/>
          <w:bCs/>
          <w:color w:val="4472C4" w:themeColor="accent1"/>
        </w:rPr>
        <w:t xml:space="preserve">other </w:t>
      </w:r>
      <w:r>
        <w:t>categories of eligible costs</w:t>
      </w:r>
      <w:r w:rsidR="78D35EB5">
        <w:t>.</w:t>
      </w:r>
    </w:p>
    <w:p w14:paraId="0B49D9AA" w14:textId="0065F87B" w:rsidR="00CE1510" w:rsidRDefault="00CE1510" w:rsidP="00ED591F">
      <w:pPr>
        <w:pStyle w:val="ListParagraph"/>
        <w:numPr>
          <w:ilvl w:val="0"/>
          <w:numId w:val="22"/>
        </w:numPr>
      </w:pPr>
      <w:r w:rsidRPr="00690B27">
        <w:rPr>
          <w:b/>
          <w:bCs/>
          <w:color w:val="4472C4" w:themeColor="accent1"/>
        </w:rPr>
        <w:t>UNIT COSTS</w:t>
      </w:r>
      <w:r w:rsidRPr="00CE1510">
        <w:t xml:space="preserve">: </w:t>
      </w:r>
      <w:r w:rsidR="00625379">
        <w:t>A</w:t>
      </w:r>
      <w:r w:rsidRPr="00CE1510">
        <w:t xml:space="preserve">ll or part of the eligible costs of an operation will be calculated </w:t>
      </w:r>
      <w:proofErr w:type="gramStart"/>
      <w:r w:rsidRPr="00CE1510">
        <w:t>on the basis of</w:t>
      </w:r>
      <w:proofErr w:type="gramEnd"/>
      <w:r w:rsidRPr="00CE1510">
        <w:t xml:space="preserve"> quantified activities, input, outputs or results multiplied by standard scales of unit costs established in advance</w:t>
      </w:r>
      <w:r w:rsidR="00172AB3">
        <w:t>.</w:t>
      </w:r>
    </w:p>
    <w:p w14:paraId="3D91FF54" w14:textId="4C8C82E8" w:rsidR="00CE1510" w:rsidRDefault="57C91D5A" w:rsidP="00ED591F">
      <w:pPr>
        <w:pStyle w:val="ListParagraph"/>
        <w:numPr>
          <w:ilvl w:val="0"/>
          <w:numId w:val="22"/>
        </w:numPr>
      </w:pPr>
      <w:r w:rsidRPr="4AF773E3">
        <w:rPr>
          <w:b/>
          <w:bCs/>
          <w:color w:val="4472C4" w:themeColor="accent1"/>
        </w:rPr>
        <w:t>LUMP SUMS</w:t>
      </w:r>
      <w:r w:rsidR="0B4030F0">
        <w:t xml:space="preserve">: </w:t>
      </w:r>
      <w:r>
        <w:t>A</w:t>
      </w:r>
      <w:r w:rsidR="0B4030F0">
        <w:t xml:space="preserve">ll eligible </w:t>
      </w:r>
      <w:r w:rsidR="0B4030F0">
        <w:t xml:space="preserve">costs or part of eligible costs of an operation or project are calculated </w:t>
      </w:r>
      <w:proofErr w:type="gramStart"/>
      <w:r w:rsidR="0B4030F0">
        <w:t>on the basis of</w:t>
      </w:r>
      <w:proofErr w:type="gramEnd"/>
      <w:r w:rsidR="0B4030F0">
        <w:t xml:space="preserve"> amount</w:t>
      </w:r>
      <w:r w:rsidR="2D032A5A">
        <w:t>s, established in advance,</w:t>
      </w:r>
      <w:r w:rsidR="0B4030F0">
        <w:t xml:space="preserve"> which is paid if predefined activities and/or outputs are completed.</w:t>
      </w:r>
      <w:bookmarkStart w:id="10" w:name="_Hlk164410816"/>
      <w:bookmarkEnd w:id="10"/>
    </w:p>
    <w:p w14:paraId="31D31486" w14:textId="7D13F5B9" w:rsidR="004810C5" w:rsidRPr="004810C5" w:rsidRDefault="004810C5" w:rsidP="00B32403">
      <w:r w:rsidRPr="004810C5">
        <w:t xml:space="preserve">The Managing Authority can choose either to use one type of SCOs or to combine different types within the same operation provided that any possible overlap between costs covered by different SCOs is excluded </w:t>
      </w:r>
      <w:proofErr w:type="gramStart"/>
      <w:r w:rsidRPr="004810C5">
        <w:t>in order to</w:t>
      </w:r>
      <w:proofErr w:type="gramEnd"/>
      <w:r w:rsidRPr="004810C5">
        <w:t xml:space="preserve"> avoid double financing</w:t>
      </w:r>
      <w:r w:rsidR="00625379">
        <w:t xml:space="preserve"> (see also section 2.5 on the combination of simplified cost options)</w:t>
      </w:r>
      <w:r w:rsidRPr="004810C5">
        <w:t>.</w:t>
      </w:r>
    </w:p>
    <w:p w14:paraId="70BA913B" w14:textId="0A47DB57" w:rsidR="0073045B" w:rsidRPr="004E4654" w:rsidRDefault="1F37447F" w:rsidP="00B32403">
      <w:pPr>
        <w:pStyle w:val="Heading2"/>
        <w:numPr>
          <w:ilvl w:val="1"/>
          <w:numId w:val="10"/>
        </w:numPr>
        <w:rPr>
          <w:b/>
          <w:bCs/>
          <w:color w:val="4472C4" w:themeColor="accent1"/>
        </w:rPr>
      </w:pPr>
      <w:bookmarkStart w:id="11" w:name="_Toc168350293"/>
      <w:r w:rsidRPr="4AF773E3">
        <w:rPr>
          <w:b/>
          <w:bCs/>
          <w:color w:val="4472C4" w:themeColor="accent1"/>
        </w:rPr>
        <w:t>Flat rate financing</w:t>
      </w:r>
      <w:bookmarkEnd w:id="11"/>
    </w:p>
    <w:p w14:paraId="388815B0" w14:textId="64DCD665" w:rsidR="2DB5A651" w:rsidRDefault="60C5CABE" w:rsidP="4AF773E3">
      <w:r>
        <w:t xml:space="preserve">Flat rates can be used at both </w:t>
      </w:r>
      <w:r>
        <w:t xml:space="preserve">reimbursement levels, i.e., at upper level for the reimbursement of the Union contribution (Article 51(e) CPR) and at lower level for grants provided by the Member State to the beneficiary (Article 53(1)(d) CPR).  </w:t>
      </w:r>
    </w:p>
    <w:p w14:paraId="11C30904" w14:textId="5427C0BF" w:rsidR="2DB7D071" w:rsidRDefault="4E3235F2" w:rsidP="36705035">
      <w:r>
        <w:t>There are two types of flat rates:</w:t>
      </w:r>
    </w:p>
    <w:p w14:paraId="69D8DF67" w14:textId="1E5F6DF7" w:rsidR="2DB7D071" w:rsidRDefault="4E3235F2" w:rsidP="4AF773E3">
      <w:pPr>
        <w:pStyle w:val="ListParagraph"/>
        <w:numPr>
          <w:ilvl w:val="0"/>
          <w:numId w:val="3"/>
        </w:numPr>
      </w:pPr>
      <w:r>
        <w:t>Off the shelf flat rates established</w:t>
      </w:r>
      <w:r w:rsidR="1CFDFF56">
        <w:t xml:space="preserve">, </w:t>
      </w:r>
      <w:r w:rsidR="1CFDFF56" w:rsidRPr="4AF773E3">
        <w:rPr>
          <w:i/>
          <w:iCs/>
        </w:rPr>
        <w:t>inter alia</w:t>
      </w:r>
      <w:r>
        <w:t xml:space="preserve"> in the CPR and Fund specific regulations; for which the managing authorities are not required to establish a calculation method to determine the applicable </w:t>
      </w:r>
      <w:proofErr w:type="gramStart"/>
      <w:r>
        <w:t>rate;</w:t>
      </w:r>
      <w:proofErr w:type="gramEnd"/>
    </w:p>
    <w:p w14:paraId="76101899" w14:textId="00340AD1" w:rsidR="36705035" w:rsidRDefault="6052B93E" w:rsidP="4AF773E3">
      <w:pPr>
        <w:pStyle w:val="ListParagraph"/>
        <w:numPr>
          <w:ilvl w:val="0"/>
          <w:numId w:val="2"/>
        </w:numPr>
      </w:pPr>
      <w:r>
        <w:t>Flat rates for which the managing authorities develop a methodology.</w:t>
      </w:r>
    </w:p>
    <w:p w14:paraId="428CFEB9" w14:textId="3DEAE78A" w:rsidR="00084112" w:rsidRDefault="00BB581F" w:rsidP="00BB581F">
      <w:pPr>
        <w:pStyle w:val="Heading3"/>
      </w:pPr>
      <w:bookmarkStart w:id="12" w:name="_Toc168350294"/>
      <w:r w:rsidRPr="002113B2">
        <w:rPr>
          <w:color w:val="4472C4" w:themeColor="accent1"/>
        </w:rPr>
        <w:t xml:space="preserve">2.2.1. </w:t>
      </w:r>
      <w:r w:rsidR="00736D3A">
        <w:rPr>
          <w:color w:val="4472C4" w:themeColor="accent1"/>
        </w:rPr>
        <w:tab/>
      </w:r>
      <w:r w:rsidR="0073045B" w:rsidRPr="004E4654">
        <w:rPr>
          <w:color w:val="4472C4" w:themeColor="accent1"/>
        </w:rPr>
        <w:t>General principles</w:t>
      </w:r>
      <w:bookmarkEnd w:id="12"/>
    </w:p>
    <w:p w14:paraId="490EFB07" w14:textId="06EFB7B2" w:rsidR="003F3380" w:rsidRDefault="00630134" w:rsidP="00B32403">
      <w:pPr>
        <w:pStyle w:val="Style3"/>
      </w:pPr>
      <w:r>
        <w:t>Defining the categories of costs</w:t>
      </w:r>
    </w:p>
    <w:p w14:paraId="33FD4540" w14:textId="2689FCEF" w:rsidR="00630134" w:rsidRDefault="00630134" w:rsidP="00B32403">
      <w:r w:rsidRPr="00630134">
        <w:t xml:space="preserve">In </w:t>
      </w:r>
      <w:r w:rsidRPr="00630134">
        <w:t>a flat rate financing system, there is a maximum of three types of categories of costs:</w:t>
      </w:r>
    </w:p>
    <w:p w14:paraId="4861BAA7" w14:textId="65302ECE" w:rsidR="00630134" w:rsidRPr="00630134" w:rsidRDefault="5A487E6A" w:rsidP="00B32403">
      <w:pPr>
        <w:pStyle w:val="ListParagraph"/>
        <w:numPr>
          <w:ilvl w:val="0"/>
          <w:numId w:val="23"/>
        </w:numPr>
      </w:pPr>
      <w:r>
        <w:t>TYPE 1: categories of eligible costs on the basis of which the flat rate is to be applied to calculate the eligible amounts</w:t>
      </w:r>
      <w:r w:rsidR="0BDD9EF4">
        <w:t xml:space="preserve"> (so called ‘basis cost’</w:t>
      </w:r>
      <w:proofErr w:type="gramStart"/>
      <w:r w:rsidR="0BDD9EF4">
        <w:t>)</w:t>
      </w:r>
      <w:r>
        <w:t>;</w:t>
      </w:r>
      <w:proofErr w:type="gramEnd"/>
    </w:p>
    <w:p w14:paraId="4B31B8F9" w14:textId="1054E53C" w:rsidR="00630134" w:rsidRPr="00630134" w:rsidRDefault="046234A8" w:rsidP="00B32403">
      <w:pPr>
        <w:pStyle w:val="ListParagraph"/>
        <w:numPr>
          <w:ilvl w:val="0"/>
          <w:numId w:val="23"/>
        </w:numPr>
      </w:pPr>
      <w:r>
        <w:t xml:space="preserve">TYPE 2: categories of eligible costs that will be </w:t>
      </w:r>
      <w:r w:rsidR="7611E451">
        <w:t xml:space="preserve">covered by applying </w:t>
      </w:r>
      <w:r>
        <w:t xml:space="preserve">the flat </w:t>
      </w:r>
      <w:proofErr w:type="gramStart"/>
      <w:r>
        <w:t>rate;</w:t>
      </w:r>
      <w:proofErr w:type="gramEnd"/>
    </w:p>
    <w:p w14:paraId="4C0B1730" w14:textId="4CC03F60" w:rsidR="00630134" w:rsidRDefault="5A487E6A" w:rsidP="00B32403">
      <w:pPr>
        <w:pStyle w:val="ListParagraph"/>
        <w:numPr>
          <w:ilvl w:val="0"/>
          <w:numId w:val="23"/>
        </w:numPr>
      </w:pPr>
      <w:r>
        <w:t>TYPE 3: where relevant, other categories of eligible costs</w:t>
      </w:r>
      <w:r w:rsidR="77D992B9">
        <w:t xml:space="preserve"> (</w:t>
      </w:r>
      <w:r>
        <w:t xml:space="preserve">the rate is not applied to </w:t>
      </w:r>
      <w:proofErr w:type="gramStart"/>
      <w:r>
        <w:t>them</w:t>
      </w:r>
      <w:proofErr w:type="gramEnd"/>
      <w:r>
        <w:t xml:space="preserve"> and they are not </w:t>
      </w:r>
      <w:r w:rsidR="798AAD53">
        <w:t>covered by applying</w:t>
      </w:r>
      <w:r>
        <w:t xml:space="preserve"> the flat rate</w:t>
      </w:r>
      <w:r w:rsidR="77D992B9">
        <w:t>).</w:t>
      </w:r>
    </w:p>
    <w:p w14:paraId="754D8DBC" w14:textId="2446297D" w:rsidR="00A953B9" w:rsidRPr="00B07F26" w:rsidRDefault="134B31B0" w:rsidP="00A953B9">
      <w:r>
        <w:t xml:space="preserve">When using a flat rate financing system, the managing authority (or the </w:t>
      </w:r>
      <w:r w:rsidR="1B993C79">
        <w:t>m</w:t>
      </w:r>
      <w:r>
        <w:t xml:space="preserve">onitoring </w:t>
      </w:r>
      <w:r w:rsidR="1B993C79">
        <w:t>c</w:t>
      </w:r>
      <w:r>
        <w:t xml:space="preserve">ommittee for Interreg programmes) must define the categories of costs falling under each type: any category of expenditure is clearly included in one — and only one — of the three types. </w:t>
      </w:r>
      <w:r w:rsidR="789BB142">
        <w:t>In</w:t>
      </w:r>
      <w:r>
        <w:t xml:space="preserve"> some cases, one type can be defined by opposition to another type or the other types (for instance, in a system where there are only direct (type 1) and indirect costs (type 2), indirect costs could be considered as all the eligible costs that are not eligible direct costs).</w:t>
      </w:r>
      <w:r w:rsidR="00A953B9" w:rsidRPr="00A953B9">
        <w:t xml:space="preserve"> </w:t>
      </w:r>
      <w:r w:rsidR="00A953B9">
        <w:t>During the selection of operations, t</w:t>
      </w:r>
      <w:r w:rsidR="00A953B9" w:rsidRPr="00A953B9">
        <w:t>he managing authority (or the monitoring committee for Interreg programmes)</w:t>
      </w:r>
      <w:r w:rsidR="00A953B9">
        <w:t xml:space="preserve"> should ensure that the cost categories covered by the flat rate are necessary for the operation.</w:t>
      </w:r>
    </w:p>
    <w:p w14:paraId="0E86129D" w14:textId="3B4369FF" w:rsidR="00630134" w:rsidRDefault="00630134" w:rsidP="002D00DF">
      <w:pPr>
        <w:jc w:val="center"/>
      </w:pPr>
    </w:p>
    <w:p w14:paraId="4C1B639B" w14:textId="02C39408" w:rsidR="007B6B97" w:rsidRDefault="1739D45D" w:rsidP="00B32403">
      <w:r>
        <w:lastRenderedPageBreak/>
        <w:t>The CPR does not put any restriction on categories of eligible costs that might be used for flat rate financing. But considering that the main objective of using flat rates is simplification, flat rates are best suited to costs that are relatively low and for which verification is costly.</w:t>
      </w:r>
    </w:p>
    <w:p w14:paraId="7755AF8E" w14:textId="6C9AF9F4" w:rsidR="00E070D6" w:rsidRDefault="00CE5155" w:rsidP="006D7011">
      <w:pPr>
        <w:ind w:left="851"/>
      </w:pPr>
      <w:r>
        <w:rPr>
          <w:b/>
          <w:bCs/>
          <w:noProof/>
          <w:color w:val="4472C4" w:themeColor="accent1"/>
          <w:shd w:val="clear" w:color="auto" w:fill="E6E6E6"/>
        </w:rPr>
        <w:drawing>
          <wp:anchor distT="0" distB="0" distL="114300" distR="114300" simplePos="0" relativeHeight="251590144" behindDoc="0" locked="0" layoutInCell="1" allowOverlap="1" wp14:anchorId="0B5D0D69" wp14:editId="52AF12E3">
            <wp:simplePos x="0" y="0"/>
            <wp:positionH relativeFrom="margin">
              <wp:align>left</wp:align>
            </wp:positionH>
            <wp:positionV relativeFrom="paragraph">
              <wp:posOffset>-1270</wp:posOffset>
            </wp:positionV>
            <wp:extent cx="428625" cy="428625"/>
            <wp:effectExtent l="0" t="0" r="9525" b="0"/>
            <wp:wrapSquare wrapText="bothSides"/>
            <wp:docPr id="1" name="Graphic 1" descr="Blackboard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Blackboard outline"/>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432893" cy="432893"/>
                    </a:xfrm>
                    <a:prstGeom prst="rect">
                      <a:avLst/>
                    </a:prstGeom>
                  </pic:spPr>
                </pic:pic>
              </a:graphicData>
            </a:graphic>
            <wp14:sizeRelH relativeFrom="margin">
              <wp14:pctWidth>0</wp14:pctWidth>
            </wp14:sizeRelH>
            <wp14:sizeRelV relativeFrom="margin">
              <wp14:pctHeight>0</wp14:pctHeight>
            </wp14:sizeRelV>
          </wp:anchor>
        </w:drawing>
      </w:r>
      <w:r w:rsidR="5726128D" w:rsidRPr="00B07F26">
        <w:rPr>
          <w:b/>
          <w:bCs/>
          <w:color w:val="4472C4" w:themeColor="accent1"/>
        </w:rPr>
        <w:t>It is possible to use different flat rates for different categories of costs applied to the same basis</w:t>
      </w:r>
      <w:r w:rsidR="5726128D" w:rsidRPr="00B07F26">
        <w:t>. For example, a flat rate of x % of staff costs can be used to calculate the indirect costs</w:t>
      </w:r>
      <w:r w:rsidR="3EB77014">
        <w:t>. T</w:t>
      </w:r>
      <w:r w:rsidR="5726128D" w:rsidRPr="00B07F26">
        <w:t xml:space="preserve">he same basis </w:t>
      </w:r>
      <w:r w:rsidR="2BA07AC0">
        <w:t>(</w:t>
      </w:r>
      <w:r w:rsidR="5726128D" w:rsidRPr="00B07F26">
        <w:t>i.e., the staff costs</w:t>
      </w:r>
      <w:r w:rsidR="2BA07AC0">
        <w:t>)</w:t>
      </w:r>
      <w:r w:rsidR="5726128D" w:rsidRPr="00B07F26">
        <w:t xml:space="preserve"> can be also used to calculate the other direct costs of the operation at a flat</w:t>
      </w:r>
      <w:r w:rsidR="7C06FC94">
        <w:t xml:space="preserve"> </w:t>
      </w:r>
      <w:r w:rsidR="5726128D" w:rsidRPr="00B07F26">
        <w:t xml:space="preserve">rate of y %. </w:t>
      </w:r>
    </w:p>
    <w:p w14:paraId="67A6499B" w14:textId="282CF209" w:rsidR="00B07F26" w:rsidRDefault="00E070D6" w:rsidP="00B32403">
      <w:r>
        <w:rPr>
          <w:noProof/>
          <w:color w:val="2B579A"/>
          <w:shd w:val="clear" w:color="auto" w:fill="E6E6E6"/>
        </w:rPr>
        <w:drawing>
          <wp:anchor distT="0" distB="0" distL="114300" distR="114300" simplePos="0" relativeHeight="251595264" behindDoc="0" locked="0" layoutInCell="1" allowOverlap="1" wp14:anchorId="374BD42B" wp14:editId="5CC15A68">
            <wp:simplePos x="0" y="0"/>
            <wp:positionH relativeFrom="column">
              <wp:posOffset>27940</wp:posOffset>
            </wp:positionH>
            <wp:positionV relativeFrom="paragraph">
              <wp:posOffset>0</wp:posOffset>
            </wp:positionV>
            <wp:extent cx="400685" cy="40068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0685" cy="400685"/>
                    </a:xfrm>
                    <a:prstGeom prst="rect">
                      <a:avLst/>
                    </a:prstGeom>
                    <a:noFill/>
                  </pic:spPr>
                </pic:pic>
              </a:graphicData>
            </a:graphic>
            <wp14:sizeRelH relativeFrom="margin">
              <wp14:pctWidth>0</wp14:pctWidth>
            </wp14:sizeRelH>
            <wp14:sizeRelV relativeFrom="margin">
              <wp14:pctHeight>0</wp14:pctHeight>
            </wp14:sizeRelV>
          </wp:anchor>
        </w:drawing>
      </w:r>
      <w:proofErr w:type="gramStart"/>
      <w:r w:rsidR="5726128D" w:rsidRPr="00B07F26">
        <w:t>In order to</w:t>
      </w:r>
      <w:proofErr w:type="gramEnd"/>
      <w:r w:rsidR="5726128D" w:rsidRPr="00B07F26">
        <w:t xml:space="preserve"> avoid double financing, costs that will be covered by the flat rate are not to be included in the basis</w:t>
      </w:r>
      <w:r w:rsidR="74B96291">
        <w:t xml:space="preserve"> costs</w:t>
      </w:r>
      <w:r w:rsidR="5726128D" w:rsidRPr="00B07F26">
        <w:t>.</w:t>
      </w:r>
    </w:p>
    <w:p w14:paraId="3BBE7700" w14:textId="6FDA74FB" w:rsidR="00ED1ACF" w:rsidRDefault="1615A167" w:rsidP="00ED591F">
      <w:pPr>
        <w:pStyle w:val="Style3"/>
      </w:pPr>
      <w:r w:rsidRPr="02A2E652">
        <w:t>Specific flat rate</w:t>
      </w:r>
      <w:r w:rsidR="6BDE3B94" w:rsidRPr="02A2E652">
        <w:t>s</w:t>
      </w:r>
      <w:r w:rsidRPr="02A2E652">
        <w:t xml:space="preserve"> to calculate </w:t>
      </w:r>
      <w:r w:rsidRPr="02A2E652">
        <w:t>categories of costs detailed in the CPR and the Fund-specific Regulations</w:t>
      </w:r>
    </w:p>
    <w:p w14:paraId="1BF11542" w14:textId="0055602C" w:rsidR="00ED1ACF" w:rsidRPr="00ED1ACF" w:rsidRDefault="3E8DFED4" w:rsidP="00B32403">
      <w:r>
        <w:t>Certain specific flat rate</w:t>
      </w:r>
      <w:r w:rsidR="6DEAE6D0">
        <w:t>s</w:t>
      </w:r>
      <w:r w:rsidR="6F098A00">
        <w:t xml:space="preserve"> </w:t>
      </w:r>
      <w:r>
        <w:t xml:space="preserve">are defined </w:t>
      </w:r>
      <w:r w:rsidR="6114E242">
        <w:t>in the legal framework</w:t>
      </w:r>
      <w:r>
        <w:t xml:space="preserve">. These flat rates can be used for the reimbursement of grants provided by Member States to beneficiaries (Article 53(3)(e) CPR). </w:t>
      </w:r>
    </w:p>
    <w:p w14:paraId="1FB564EC" w14:textId="0AC6FD70" w:rsidR="00075609" w:rsidRDefault="002B3F5E" w:rsidP="00075609">
      <w:pPr>
        <w:ind w:left="851"/>
      </w:pPr>
      <w:r>
        <w:rPr>
          <w:b/>
          <w:bCs/>
          <w:noProof/>
          <w:color w:val="4472C4" w:themeColor="accent1"/>
          <w:shd w:val="clear" w:color="auto" w:fill="E6E6E6"/>
        </w:rPr>
        <w:drawing>
          <wp:anchor distT="0" distB="0" distL="114300" distR="114300" simplePos="0" relativeHeight="251652608" behindDoc="0" locked="0" layoutInCell="1" allowOverlap="1" wp14:anchorId="10D0781E" wp14:editId="54DF6473">
            <wp:simplePos x="0" y="0"/>
            <wp:positionH relativeFrom="margin">
              <wp:align>left</wp:align>
            </wp:positionH>
            <wp:positionV relativeFrom="paragraph">
              <wp:posOffset>6350</wp:posOffset>
            </wp:positionV>
            <wp:extent cx="428625" cy="428625"/>
            <wp:effectExtent l="0" t="0" r="9525" b="0"/>
            <wp:wrapSquare wrapText="bothSides"/>
            <wp:docPr id="30" name="Graphic 30" descr="Blackboard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Blackboard outline"/>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428625" cy="428625"/>
                    </a:xfrm>
                    <a:prstGeom prst="rect">
                      <a:avLst/>
                    </a:prstGeom>
                  </pic:spPr>
                </pic:pic>
              </a:graphicData>
            </a:graphic>
            <wp14:sizeRelH relativeFrom="margin">
              <wp14:pctWidth>0</wp14:pctWidth>
            </wp14:sizeRelH>
            <wp14:sizeRelV relativeFrom="margin">
              <wp14:pctHeight>0</wp14:pctHeight>
            </wp14:sizeRelV>
          </wp:anchor>
        </w:drawing>
      </w:r>
      <w:r w:rsidR="5E157C73" w:rsidRPr="003F52D1">
        <w:t>Most of them can be used without requiring the managing authority to establish a calculation method to determine the applicable rate (i.e., so-called ‘off the shelf’ simplified cost options). These flat rates are applied to a certain category of costs (i.e., the basis costs), to calculate other categories of costs</w:t>
      </w:r>
      <w:r w:rsidR="1E610D0D">
        <w:t xml:space="preserve"> (covered by the flat rate)</w:t>
      </w:r>
      <w:r w:rsidR="5E157C73">
        <w:t>.</w:t>
      </w:r>
      <w:r w:rsidR="75FA9957">
        <w:t xml:space="preserve"> </w:t>
      </w:r>
      <w:r w:rsidR="1E610D0D">
        <w:t>T</w:t>
      </w:r>
      <w:r w:rsidR="75FA9957">
        <w:t xml:space="preserve">he managing authority may use any rate up to the rate mentioned in the relevant article, and it will not have to justify why this rate was chosen, even if it is below the rate specified in the Regulation, </w:t>
      </w:r>
      <w:proofErr w:type="gramStart"/>
      <w:r w:rsidR="75FA9957">
        <w:t>as long as</w:t>
      </w:r>
      <w:proofErr w:type="gramEnd"/>
      <w:r w:rsidR="75FA9957">
        <w:t xml:space="preserve"> the rate is relevant for the specific operations. If a lower rate is chosen, there is no requirement to perform any calculation. </w:t>
      </w:r>
    </w:p>
    <w:p w14:paraId="0CED670D" w14:textId="67C663C6" w:rsidR="00075609" w:rsidRDefault="00075609" w:rsidP="00075609">
      <w:r>
        <w:t xml:space="preserve">However, the managing authority may establish a higher rate than the rates set out in Articles 54 - 56 CPR </w:t>
      </w:r>
      <w:r w:rsidR="003C2BF1">
        <w:t>based on</w:t>
      </w:r>
      <w:r>
        <w:t xml:space="preserve"> one of the methods set out in Article 53(3) CPR (except for point (c) of the first subparagraph of Article 54 CPR).</w:t>
      </w:r>
    </w:p>
    <w:p w14:paraId="3FA73BAD" w14:textId="0F470CC0" w:rsidR="004415FE" w:rsidRDefault="00075609" w:rsidP="4AF773E3">
      <w:r>
        <w:t xml:space="preserve">When deciding on the </w:t>
      </w:r>
      <w:r>
        <w:t xml:space="preserve">flat rate to be applied, the principle of equal treatment of beneficiaries needs to be respected. Thus, beneficiaries in a similar situation may not be treated differently without there being a justification. </w:t>
      </w:r>
    </w:p>
    <w:p w14:paraId="6FF89DC9" w14:textId="6F2E5902" w:rsidR="004415FE" w:rsidRDefault="1201F243" w:rsidP="4AF773E3">
      <w:r>
        <w:t xml:space="preserve">The </w:t>
      </w:r>
      <w:r w:rsidR="739AB8B0">
        <w:t>“</w:t>
      </w:r>
      <w:r>
        <w:t>off the shelf</w:t>
      </w:r>
      <w:r w:rsidR="739AB8B0">
        <w:t>”</w:t>
      </w:r>
      <w:r>
        <w:t xml:space="preserve"> flat rates are:</w:t>
      </w:r>
    </w:p>
    <w:tbl>
      <w:tblPr>
        <w:tblStyle w:val="GridTable4-Accent1"/>
        <w:tblW w:w="0" w:type="auto"/>
        <w:tblLook w:val="04A0" w:firstRow="1" w:lastRow="0" w:firstColumn="1" w:lastColumn="0" w:noHBand="0" w:noVBand="1"/>
      </w:tblPr>
      <w:tblGrid>
        <w:gridCol w:w="2830"/>
        <w:gridCol w:w="6186"/>
      </w:tblGrid>
      <w:tr w:rsidR="00DB304F" w14:paraId="0DEEC233" w14:textId="77777777" w:rsidTr="512430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B96F811" w14:textId="17B12FAF" w:rsidR="00DB304F" w:rsidRDefault="00DB304F" w:rsidP="00B32403">
            <w:r>
              <w:t>Article</w:t>
            </w:r>
          </w:p>
        </w:tc>
        <w:tc>
          <w:tcPr>
            <w:tcW w:w="6186" w:type="dxa"/>
          </w:tcPr>
          <w:p w14:paraId="79B7741F" w14:textId="59EE2B3B" w:rsidR="00DB304F" w:rsidRDefault="246FC8B3" w:rsidP="00B32403">
            <w:pPr>
              <w:cnfStyle w:val="100000000000" w:firstRow="1" w:lastRow="0" w:firstColumn="0" w:lastColumn="0" w:oddVBand="0" w:evenVBand="0" w:oddHBand="0" w:evenHBand="0" w:firstRowFirstColumn="0" w:firstRowLastColumn="0" w:lastRowFirstColumn="0" w:lastRowLastColumn="0"/>
            </w:pPr>
            <w:r>
              <w:t>Off the shelf flat rates</w:t>
            </w:r>
          </w:p>
        </w:tc>
      </w:tr>
      <w:tr w:rsidR="00DB304F" w14:paraId="66F39309" w14:textId="77777777" w:rsidTr="51243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B9CD899" w14:textId="78C58710" w:rsidR="00DB304F" w:rsidRDefault="00DB304F" w:rsidP="00B32403">
            <w:r w:rsidRPr="002A4B74">
              <w:rPr>
                <w:rFonts w:eastAsiaTheme="majorEastAsia" w:cstheme="minorHAnsi"/>
                <w:color w:val="2F5496" w:themeColor="accent1" w:themeShade="BF"/>
              </w:rPr>
              <w:t>Art 54(a) CPR</w:t>
            </w:r>
          </w:p>
        </w:tc>
        <w:tc>
          <w:tcPr>
            <w:tcW w:w="6186" w:type="dxa"/>
          </w:tcPr>
          <w:p w14:paraId="6B2E36A7" w14:textId="716E7FEE" w:rsidR="00DB304F" w:rsidRDefault="00DB304F" w:rsidP="00B32403">
            <w:pPr>
              <w:cnfStyle w:val="000000100000" w:firstRow="0" w:lastRow="0" w:firstColumn="0" w:lastColumn="0" w:oddVBand="0" w:evenVBand="0" w:oddHBand="1" w:evenHBand="0" w:firstRowFirstColumn="0" w:firstRowLastColumn="0" w:lastRowFirstColumn="0" w:lastRowLastColumn="0"/>
            </w:pPr>
            <w:r w:rsidRPr="00611F75">
              <w:t xml:space="preserve">Up to 7% of </w:t>
            </w:r>
            <w:r>
              <w:t xml:space="preserve">eligible </w:t>
            </w:r>
            <w:r w:rsidRPr="00611F75">
              <w:t xml:space="preserve">direct costs </w:t>
            </w:r>
            <w:r>
              <w:t>to reimburse</w:t>
            </w:r>
            <w:r w:rsidRPr="00611F75">
              <w:t xml:space="preserve"> indirect costs</w:t>
            </w:r>
          </w:p>
        </w:tc>
      </w:tr>
      <w:tr w:rsidR="00DB304F" w14:paraId="66DE8596" w14:textId="77777777" w:rsidTr="5124305C">
        <w:tc>
          <w:tcPr>
            <w:cnfStyle w:val="001000000000" w:firstRow="0" w:lastRow="0" w:firstColumn="1" w:lastColumn="0" w:oddVBand="0" w:evenVBand="0" w:oddHBand="0" w:evenHBand="0" w:firstRowFirstColumn="0" w:firstRowLastColumn="0" w:lastRowFirstColumn="0" w:lastRowLastColumn="0"/>
            <w:tcW w:w="2830" w:type="dxa"/>
          </w:tcPr>
          <w:p w14:paraId="295CAF8A" w14:textId="2CDDCC64" w:rsidR="00DB304F" w:rsidRDefault="00DB304F" w:rsidP="00B32403">
            <w:r w:rsidRPr="002A4B74">
              <w:rPr>
                <w:rFonts w:eastAsiaTheme="majorEastAsia" w:cstheme="minorHAnsi"/>
                <w:color w:val="2F5496" w:themeColor="accent1" w:themeShade="BF"/>
              </w:rPr>
              <w:t>Art 54 (b) CPR</w:t>
            </w:r>
          </w:p>
        </w:tc>
        <w:tc>
          <w:tcPr>
            <w:tcW w:w="6186" w:type="dxa"/>
          </w:tcPr>
          <w:p w14:paraId="63C710DB" w14:textId="0B8C9796" w:rsidR="00DB304F" w:rsidRDefault="00DB304F" w:rsidP="00B32403">
            <w:pPr>
              <w:cnfStyle w:val="000000000000" w:firstRow="0" w:lastRow="0" w:firstColumn="0" w:lastColumn="0" w:oddVBand="0" w:evenVBand="0" w:oddHBand="0" w:evenHBand="0" w:firstRowFirstColumn="0" w:firstRowLastColumn="0" w:lastRowFirstColumn="0" w:lastRowLastColumn="0"/>
            </w:pPr>
            <w:r w:rsidRPr="00611F75">
              <w:t xml:space="preserve">Up to 15% of </w:t>
            </w:r>
            <w:r>
              <w:t xml:space="preserve">eligible </w:t>
            </w:r>
            <w:r w:rsidRPr="00611F75">
              <w:t xml:space="preserve">direct staff costs </w:t>
            </w:r>
            <w:r>
              <w:t>to reimburse</w:t>
            </w:r>
            <w:r w:rsidRPr="00611F75">
              <w:t xml:space="preserve"> indirect costs</w:t>
            </w:r>
          </w:p>
        </w:tc>
      </w:tr>
      <w:tr w:rsidR="00DB304F" w14:paraId="6689F02B" w14:textId="77777777" w:rsidTr="51243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01B7B824" w14:textId="6CA2B01D" w:rsidR="00DB304F" w:rsidRPr="002A4B74" w:rsidRDefault="00DB304F" w:rsidP="00B32403">
            <w:pPr>
              <w:rPr>
                <w:rFonts w:eastAsiaTheme="majorEastAsia" w:cstheme="minorHAnsi"/>
                <w:color w:val="2F5496" w:themeColor="accent1" w:themeShade="BF"/>
              </w:rPr>
            </w:pPr>
            <w:r w:rsidRPr="002A4B74">
              <w:rPr>
                <w:rFonts w:eastAsiaTheme="majorEastAsia" w:cstheme="minorHAnsi"/>
                <w:color w:val="2F5496" w:themeColor="accent1" w:themeShade="BF"/>
              </w:rPr>
              <w:t>Art 55(1) CPR</w:t>
            </w:r>
          </w:p>
        </w:tc>
        <w:tc>
          <w:tcPr>
            <w:tcW w:w="6186" w:type="dxa"/>
          </w:tcPr>
          <w:p w14:paraId="001FFF18" w14:textId="3BE1C2F2" w:rsidR="00DB304F" w:rsidRDefault="7C358A94" w:rsidP="00B32403">
            <w:pPr>
              <w:cnfStyle w:val="000000100000" w:firstRow="0" w:lastRow="0" w:firstColumn="0" w:lastColumn="0" w:oddVBand="0" w:evenVBand="0" w:oddHBand="1" w:evenHBand="0" w:firstRowFirstColumn="0" w:firstRowLastColumn="0" w:lastRowFirstColumn="0" w:lastRowLastColumn="0"/>
            </w:pPr>
            <w:r w:rsidRPr="4FE78AED">
              <w:t>Up to 20% of direct costs</w:t>
            </w:r>
            <w:r w:rsidR="00DB304F">
              <w:rPr>
                <w:rStyle w:val="FootnoteReference"/>
                <w:color w:val="000000"/>
              </w:rPr>
              <w:footnoteReference w:id="7"/>
            </w:r>
            <w:r w:rsidRPr="4FE78AED">
              <w:t xml:space="preserve"> to reimburse direct staff costs</w:t>
            </w:r>
          </w:p>
        </w:tc>
      </w:tr>
      <w:tr w:rsidR="00DB304F" w14:paraId="791584EC" w14:textId="77777777" w:rsidTr="5124305C">
        <w:tc>
          <w:tcPr>
            <w:cnfStyle w:val="001000000000" w:firstRow="0" w:lastRow="0" w:firstColumn="1" w:lastColumn="0" w:oddVBand="0" w:evenVBand="0" w:oddHBand="0" w:evenHBand="0" w:firstRowFirstColumn="0" w:firstRowLastColumn="0" w:lastRowFirstColumn="0" w:lastRowLastColumn="0"/>
            <w:tcW w:w="2830" w:type="dxa"/>
          </w:tcPr>
          <w:p w14:paraId="54CF9827" w14:textId="3C573969" w:rsidR="00DB304F" w:rsidRPr="002A4B74" w:rsidRDefault="00DB304F" w:rsidP="00B32403">
            <w:pPr>
              <w:rPr>
                <w:rFonts w:eastAsiaTheme="majorEastAsia" w:cstheme="minorHAnsi"/>
                <w:color w:val="2F5496" w:themeColor="accent1" w:themeShade="BF"/>
              </w:rPr>
            </w:pPr>
            <w:r w:rsidRPr="002A4B74">
              <w:rPr>
                <w:rFonts w:eastAsiaTheme="majorEastAsia" w:cstheme="minorHAnsi"/>
                <w:color w:val="2F5496" w:themeColor="accent1" w:themeShade="BF"/>
              </w:rPr>
              <w:t>Art 56(1) CPR</w:t>
            </w:r>
          </w:p>
        </w:tc>
        <w:tc>
          <w:tcPr>
            <w:tcW w:w="6186" w:type="dxa"/>
          </w:tcPr>
          <w:p w14:paraId="3B0CE763" w14:textId="40D1A9EF" w:rsidR="00DB304F" w:rsidRDefault="7C358A94" w:rsidP="00B32403">
            <w:pPr>
              <w:cnfStyle w:val="000000000000" w:firstRow="0" w:lastRow="0" w:firstColumn="0" w:lastColumn="0" w:oddVBand="0" w:evenVBand="0" w:oddHBand="0" w:evenHBand="0" w:firstRowFirstColumn="0" w:firstRowLastColumn="0" w:lastRowFirstColumn="0" w:lastRowLastColumn="0"/>
            </w:pPr>
            <w:r w:rsidRPr="4FE78AED">
              <w:t>Up to 40% of eligible direct staff costs to reimburse the remaining costs of an operation</w:t>
            </w:r>
            <w:r w:rsidR="00DB304F">
              <w:rPr>
                <w:rStyle w:val="FootnoteReference"/>
                <w:color w:val="000000"/>
              </w:rPr>
              <w:footnoteReference w:id="8"/>
            </w:r>
          </w:p>
        </w:tc>
      </w:tr>
      <w:tr w:rsidR="00DB304F" w14:paraId="114E7629" w14:textId="77777777" w:rsidTr="51243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9994845" w14:textId="3B6C7323" w:rsidR="00DB304F" w:rsidRPr="002A4B74" w:rsidRDefault="00DB304F" w:rsidP="00B32403">
            <w:pPr>
              <w:rPr>
                <w:rFonts w:eastAsiaTheme="majorEastAsia" w:cstheme="minorHAnsi"/>
                <w:color w:val="2F5496" w:themeColor="accent1" w:themeShade="BF"/>
              </w:rPr>
            </w:pPr>
            <w:r w:rsidRPr="002A4B74">
              <w:rPr>
                <w:rFonts w:eastAsiaTheme="majorEastAsia" w:cstheme="minorHAnsi"/>
                <w:color w:val="2F5496" w:themeColor="accent1" w:themeShade="BF"/>
              </w:rPr>
              <w:t>Art 39(3)(c) Interreg Regulation</w:t>
            </w:r>
          </w:p>
        </w:tc>
        <w:tc>
          <w:tcPr>
            <w:tcW w:w="6186" w:type="dxa"/>
          </w:tcPr>
          <w:p w14:paraId="187666B2" w14:textId="731943FB" w:rsidR="00DB304F" w:rsidRDefault="00DB304F" w:rsidP="00B32403">
            <w:pPr>
              <w:cnfStyle w:val="000000100000" w:firstRow="0" w:lastRow="0" w:firstColumn="0" w:lastColumn="0" w:oddVBand="0" w:evenVBand="0" w:oddHBand="1" w:evenHBand="0" w:firstRowFirstColumn="0" w:firstRowLastColumn="0" w:lastRowFirstColumn="0" w:lastRowLastColumn="0"/>
            </w:pPr>
            <w:r>
              <w:t>Up to 20% of direct costs to reimburse direct staff costs</w:t>
            </w:r>
          </w:p>
        </w:tc>
      </w:tr>
      <w:tr w:rsidR="00DB304F" w14:paraId="4B530800" w14:textId="77777777" w:rsidTr="5124305C">
        <w:tc>
          <w:tcPr>
            <w:cnfStyle w:val="001000000000" w:firstRow="0" w:lastRow="0" w:firstColumn="1" w:lastColumn="0" w:oddVBand="0" w:evenVBand="0" w:oddHBand="0" w:evenHBand="0" w:firstRowFirstColumn="0" w:firstRowLastColumn="0" w:lastRowFirstColumn="0" w:lastRowLastColumn="0"/>
            <w:tcW w:w="2830" w:type="dxa"/>
          </w:tcPr>
          <w:p w14:paraId="0A17BEEA" w14:textId="34C571F5" w:rsidR="00DB304F" w:rsidRPr="002A4B74" w:rsidRDefault="00DB304F" w:rsidP="00B32403">
            <w:pPr>
              <w:rPr>
                <w:rFonts w:eastAsiaTheme="majorEastAsia" w:cstheme="minorHAnsi"/>
                <w:color w:val="2F5496" w:themeColor="accent1" w:themeShade="BF"/>
              </w:rPr>
            </w:pPr>
            <w:r w:rsidRPr="002A4B74">
              <w:rPr>
                <w:rFonts w:eastAsiaTheme="majorEastAsia" w:cstheme="minorHAnsi"/>
                <w:color w:val="2F5496" w:themeColor="accent1" w:themeShade="BF"/>
              </w:rPr>
              <w:lastRenderedPageBreak/>
              <w:t>Art 41(5) Interreg Regulation</w:t>
            </w:r>
          </w:p>
        </w:tc>
        <w:tc>
          <w:tcPr>
            <w:tcW w:w="6186" w:type="dxa"/>
          </w:tcPr>
          <w:p w14:paraId="4C03DD71" w14:textId="0057B82B" w:rsidR="00DB304F" w:rsidRDefault="00DB304F" w:rsidP="00B32403">
            <w:pPr>
              <w:cnfStyle w:val="000000000000" w:firstRow="0" w:lastRow="0" w:firstColumn="0" w:lastColumn="0" w:oddVBand="0" w:evenVBand="0" w:oddHBand="0" w:evenHBand="0" w:firstRowFirstColumn="0" w:firstRowLastColumn="0" w:lastRowFirstColumn="0" w:lastRowLastColumn="0"/>
            </w:pPr>
            <w:r>
              <w:t>U</w:t>
            </w:r>
            <w:r w:rsidRPr="00611F75">
              <w:t xml:space="preserve">p to 15% </w:t>
            </w:r>
            <w:r>
              <w:t xml:space="preserve">of the direct staff costs to reimburse </w:t>
            </w:r>
            <w:r w:rsidRPr="00611F75">
              <w:t>travel and accommodation</w:t>
            </w:r>
            <w:r>
              <w:t xml:space="preserve"> costs</w:t>
            </w:r>
          </w:p>
        </w:tc>
      </w:tr>
      <w:tr w:rsidR="00DB304F" w14:paraId="70595A49" w14:textId="77777777" w:rsidTr="51243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B66BA92" w14:textId="70158986" w:rsidR="00DB304F" w:rsidRPr="002A4B74" w:rsidRDefault="00DB304F" w:rsidP="00B32403">
            <w:pPr>
              <w:rPr>
                <w:rFonts w:eastAsiaTheme="majorEastAsia" w:cstheme="minorHAnsi"/>
                <w:color w:val="2F5496" w:themeColor="accent1" w:themeShade="BF"/>
              </w:rPr>
            </w:pPr>
            <w:r w:rsidRPr="002A4B74">
              <w:rPr>
                <w:rFonts w:eastAsiaTheme="majorEastAsia" w:cstheme="minorHAnsi"/>
                <w:color w:val="2F5496" w:themeColor="accent1" w:themeShade="BF"/>
              </w:rPr>
              <w:t>Art 22(1)(b) ESF+ Regulation</w:t>
            </w:r>
          </w:p>
        </w:tc>
        <w:tc>
          <w:tcPr>
            <w:tcW w:w="6186" w:type="dxa"/>
          </w:tcPr>
          <w:p w14:paraId="3F105353" w14:textId="5D625596" w:rsidR="00DB304F" w:rsidRDefault="7C135E45" w:rsidP="00B32403">
            <w:pPr>
              <w:cnfStyle w:val="000000100000" w:firstRow="0" w:lastRow="0" w:firstColumn="0" w:lastColumn="0" w:oddVBand="0" w:evenVBand="0" w:oddHBand="1" w:evenHBand="0" w:firstRowFirstColumn="0" w:firstRowLastColumn="0" w:lastRowFirstColumn="0" w:lastRowLastColumn="0"/>
            </w:pPr>
            <w:r>
              <w:t>1 % of the costs referred to in point (a)</w:t>
            </w:r>
            <w:r w:rsidR="00DB304F" w:rsidRPr="1B560810">
              <w:rPr>
                <w:rStyle w:val="FootnoteReference"/>
              </w:rPr>
              <w:footnoteReference w:id="9"/>
            </w:r>
            <w:r>
              <w:t xml:space="preserve"> to cover the costs borne by the purchasing body related to transporting food and/or basic material assistance to the storage depots or the beneficiaries and storage costs</w:t>
            </w:r>
          </w:p>
        </w:tc>
      </w:tr>
      <w:tr w:rsidR="00DB304F" w14:paraId="2AFD099E" w14:textId="77777777" w:rsidTr="5124305C">
        <w:tc>
          <w:tcPr>
            <w:cnfStyle w:val="001000000000" w:firstRow="0" w:lastRow="0" w:firstColumn="1" w:lastColumn="0" w:oddVBand="0" w:evenVBand="0" w:oddHBand="0" w:evenHBand="0" w:firstRowFirstColumn="0" w:firstRowLastColumn="0" w:lastRowFirstColumn="0" w:lastRowLastColumn="0"/>
            <w:tcW w:w="2830" w:type="dxa"/>
          </w:tcPr>
          <w:p w14:paraId="44B59F60" w14:textId="169FD143" w:rsidR="00DB304F" w:rsidRPr="6B8ED2E7" w:rsidRDefault="00DB304F" w:rsidP="00B32403">
            <w:r w:rsidRPr="002A4B74">
              <w:rPr>
                <w:rFonts w:eastAsiaTheme="majorEastAsia" w:cstheme="minorHAnsi"/>
                <w:color w:val="2F5496" w:themeColor="accent1" w:themeShade="BF"/>
              </w:rPr>
              <w:t>Art 22(1)(c) ESF+ Regulation</w:t>
            </w:r>
          </w:p>
        </w:tc>
        <w:tc>
          <w:tcPr>
            <w:tcW w:w="6186" w:type="dxa"/>
          </w:tcPr>
          <w:p w14:paraId="06B00D5B" w14:textId="4355F1F8" w:rsidR="00DB304F" w:rsidRDefault="194DB588" w:rsidP="00ED591F">
            <w:pPr>
              <w:spacing w:line="276" w:lineRule="auto"/>
              <w:cnfStyle w:val="000000000000" w:firstRow="0" w:lastRow="0" w:firstColumn="0" w:lastColumn="0" w:oddVBand="0" w:evenVBand="0" w:oddHBand="0" w:evenHBand="0" w:firstRowFirstColumn="0" w:firstRowLastColumn="0" w:lastRowFirstColumn="0" w:lastRowLastColumn="0"/>
            </w:pPr>
            <w:r>
              <w:t>7 % of the costs referred to in point (a)</w:t>
            </w:r>
            <w:r w:rsidR="4E5428AF" w:rsidRPr="00ED591F">
              <w:rPr>
                <w:vertAlign w:val="superscript"/>
              </w:rPr>
              <w:t>9</w:t>
            </w:r>
            <w:r>
              <w:t xml:space="preserve"> or 7 % of the costs of the value of the food disposed of in accordance with Article 16 of Regulation (EU) No 1308/2013 to cover the administrative, transport, storage and preparation costs borne by the beneficiaries involved in the distribution of the food and/or basic material assistance to the most deprived persons</w:t>
            </w:r>
          </w:p>
        </w:tc>
      </w:tr>
      <w:tr w:rsidR="0020416C" w14:paraId="6E15E902" w14:textId="77777777" w:rsidTr="51243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1FF5E74" w14:textId="2058A7FF" w:rsidR="0020416C" w:rsidRPr="6B8ED2E7" w:rsidRDefault="0020416C" w:rsidP="00B32403">
            <w:r w:rsidRPr="002A4B74">
              <w:rPr>
                <w:rFonts w:eastAsiaTheme="majorEastAsia" w:cstheme="minorHAnsi"/>
                <w:color w:val="2F5496" w:themeColor="accent1" w:themeShade="BF"/>
              </w:rPr>
              <w:t>Art 22(1)(e) ESF+ Regulation</w:t>
            </w:r>
          </w:p>
        </w:tc>
        <w:tc>
          <w:tcPr>
            <w:tcW w:w="6186" w:type="dxa"/>
          </w:tcPr>
          <w:p w14:paraId="7CD763A0" w14:textId="3BFDE6C5" w:rsidR="0020416C" w:rsidRDefault="6601FCF2" w:rsidP="1B560810">
            <w:pPr>
              <w:cnfStyle w:val="000000100000" w:firstRow="0" w:lastRow="0" w:firstColumn="0" w:lastColumn="0" w:oddVBand="0" w:evenVBand="0" w:oddHBand="1" w:evenHBand="0" w:firstRowFirstColumn="0" w:firstRowLastColumn="0" w:lastRowFirstColumn="0" w:lastRowLastColumn="0"/>
            </w:pPr>
            <w:r>
              <w:t>7 % of the costs referred to in point (a)</w:t>
            </w:r>
            <w:r w:rsidR="4CF28B19" w:rsidRPr="1B560810">
              <w:rPr>
                <w:vertAlign w:val="superscript"/>
              </w:rPr>
              <w:t>9</w:t>
            </w:r>
            <w:r>
              <w:t xml:space="preserve"> to cover the costs of accompanying measures undertaken by or on behalf of beneficiaries and declared by the beneficiaries delivering the food and/or basic material assistance to the most deprived persons</w:t>
            </w:r>
          </w:p>
        </w:tc>
      </w:tr>
    </w:tbl>
    <w:p w14:paraId="312CB039" w14:textId="77777777" w:rsidR="004415FE" w:rsidRDefault="004415FE" w:rsidP="00B32403"/>
    <w:p w14:paraId="2DE809FC" w14:textId="145B131E" w:rsidR="3EE598A7" w:rsidRDefault="3EE598A7">
      <w:r>
        <w:t>Additionally</w:t>
      </w:r>
      <w:r w:rsidR="35DFCF67">
        <w:t xml:space="preserve">, </w:t>
      </w:r>
      <w:r w:rsidR="3DDDDBD1" w:rsidRPr="00ED591F">
        <w:rPr>
          <w:b/>
          <w:bCs/>
          <w:color w:val="4471C4"/>
        </w:rPr>
        <w:t>Article 54(c) CPR</w:t>
      </w:r>
      <w:r w:rsidR="3DDDDBD1">
        <w:t xml:space="preserve"> sets a ceiling on a</w:t>
      </w:r>
      <w:r w:rsidR="6C340142">
        <w:t xml:space="preserve"> </w:t>
      </w:r>
      <w:r w:rsidR="3DDDDBD1">
        <w:t>flat rate for indirect costs to 25% of eligible direct costs, provided a fair, equitable and verifiable</w:t>
      </w:r>
      <w:r w:rsidR="0AB06E29">
        <w:t xml:space="preserve"> calc</w:t>
      </w:r>
      <w:r w:rsidR="3013BB82">
        <w:t>u</w:t>
      </w:r>
      <w:r w:rsidR="0AB06E29">
        <w:t>lation method is used pursuant to Article 53(3)(a) CP</w:t>
      </w:r>
      <w:r w:rsidR="3F02552F">
        <w:t>R</w:t>
      </w:r>
      <w:r w:rsidR="0AB06E29">
        <w:t xml:space="preserve">. </w:t>
      </w:r>
    </w:p>
    <w:p w14:paraId="7E1CF7C1" w14:textId="787C90CE" w:rsidR="004D5C75" w:rsidRDefault="4EA395D6" w:rsidP="00B32403">
      <w:r>
        <w:t xml:space="preserve">Using any of these </w:t>
      </w:r>
      <w:r w:rsidR="406BAAD7">
        <w:t xml:space="preserve">options </w:t>
      </w:r>
      <w:r>
        <w:t xml:space="preserve">requires the managing authority (or the monitoring committee for the Interreg programme) to </w:t>
      </w:r>
      <w:r w:rsidRPr="02A2E652">
        <w:rPr>
          <w:b/>
          <w:bCs/>
          <w:color w:val="4471C4"/>
        </w:rPr>
        <w:t>define the categories of costs covered by the flat rate</w:t>
      </w:r>
      <w:r w:rsidR="5A52210C" w:rsidRPr="02A2E652">
        <w:rPr>
          <w:b/>
          <w:bCs/>
          <w:color w:val="4471C4"/>
        </w:rPr>
        <w:t xml:space="preserve"> and those </w:t>
      </w:r>
      <w:r w:rsidR="57167167" w:rsidRPr="02A2E652">
        <w:rPr>
          <w:b/>
          <w:bCs/>
          <w:color w:val="4471C4"/>
        </w:rPr>
        <w:t>to which the flat rate applies</w:t>
      </w:r>
      <w:r>
        <w:t xml:space="preserve">, i.e., the direct and indirect costs and the </w:t>
      </w:r>
      <w:r>
        <w:t xml:space="preserve">direct staff costs. It is the sole responsibility of the Member States to define the different categories of costs in a consistent, non-equivocal and non-discriminatory manner and ensure that double financing is avoided. </w:t>
      </w:r>
    </w:p>
    <w:p w14:paraId="5853904A" w14:textId="65690EB3" w:rsidR="004D5C75" w:rsidRDefault="1682B466" w:rsidP="00B32403">
      <w:r>
        <w:t>This should be clearly set out in the eligibility rules or programme rules.</w:t>
      </w:r>
    </w:p>
    <w:p w14:paraId="31771282" w14:textId="3D69F3C4" w:rsidR="008F6BC8" w:rsidRDefault="000A20EA" w:rsidP="00B32403">
      <w:r>
        <w:rPr>
          <w:noProof/>
          <w:color w:val="2B579A"/>
          <w:shd w:val="clear" w:color="auto" w:fill="E6E6E6"/>
        </w:rPr>
        <w:drawing>
          <wp:anchor distT="0" distB="0" distL="114300" distR="114300" simplePos="0" relativeHeight="251599360" behindDoc="0" locked="0" layoutInCell="1" allowOverlap="1" wp14:anchorId="24B977BA" wp14:editId="1E7D7175">
            <wp:simplePos x="0" y="0"/>
            <wp:positionH relativeFrom="column">
              <wp:posOffset>0</wp:posOffset>
            </wp:positionH>
            <wp:positionV relativeFrom="paragraph">
              <wp:posOffset>-3224</wp:posOffset>
            </wp:positionV>
            <wp:extent cx="267286" cy="267286"/>
            <wp:effectExtent l="0" t="0" r="0" b="0"/>
            <wp:wrapSquare wrapText="bothSides"/>
            <wp:docPr id="15" name="Graphic 15" descr="Magnifying glas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Magnifying glass with solid fill"/>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267286" cy="267286"/>
                    </a:xfrm>
                    <a:prstGeom prst="rect">
                      <a:avLst/>
                    </a:prstGeom>
                  </pic:spPr>
                </pic:pic>
              </a:graphicData>
            </a:graphic>
          </wp:anchor>
        </w:drawing>
      </w:r>
      <w:r w:rsidR="008F6BC8" w:rsidRPr="008F6BC8">
        <w:t>As general guidance, the following definitions are given below:</w:t>
      </w:r>
    </w:p>
    <w:p w14:paraId="70895674" w14:textId="77777777" w:rsidR="00EB2DD2" w:rsidRPr="00EB2DD2" w:rsidRDefault="00EB2DD2" w:rsidP="00B74801">
      <w:pPr>
        <w:pStyle w:val="ListParagraph"/>
        <w:numPr>
          <w:ilvl w:val="0"/>
          <w:numId w:val="93"/>
        </w:numPr>
        <w:ind w:left="993"/>
      </w:pPr>
      <w:r w:rsidRPr="00EB2DD2">
        <w:rPr>
          <w:b/>
          <w:bCs/>
          <w:color w:val="4472C4" w:themeColor="accent1"/>
        </w:rPr>
        <w:t>Direct costs</w:t>
      </w:r>
      <w:r w:rsidRPr="00EB2DD2">
        <w:rPr>
          <w:color w:val="4472C4" w:themeColor="accent1"/>
        </w:rPr>
        <w:t xml:space="preserve"> </w:t>
      </w:r>
      <w:r w:rsidRPr="00EB2DD2">
        <w:t xml:space="preserve">are those costs that are </w:t>
      </w:r>
      <w:r w:rsidRPr="00EB2DD2">
        <w:rPr>
          <w:b/>
          <w:bCs/>
          <w:color w:val="4472C4" w:themeColor="accent1"/>
        </w:rPr>
        <w:t>directly related to the implementation of the operation or project</w:t>
      </w:r>
      <w:r w:rsidRPr="00EB2DD2">
        <w:rPr>
          <w:color w:val="4472C4" w:themeColor="accent1"/>
        </w:rPr>
        <w:t xml:space="preserve"> </w:t>
      </w:r>
      <w:r w:rsidRPr="00EB2DD2">
        <w:t xml:space="preserve">where the direct link with this individual operation or project can be demonstrated. </w:t>
      </w:r>
    </w:p>
    <w:p w14:paraId="106E8029" w14:textId="458A105A" w:rsidR="00EB2DD2" w:rsidRPr="00EB2DD2" w:rsidRDefault="7976CDA3" w:rsidP="00B74801">
      <w:pPr>
        <w:pStyle w:val="ListParagraph"/>
        <w:numPr>
          <w:ilvl w:val="0"/>
          <w:numId w:val="93"/>
        </w:numPr>
        <w:ind w:left="993"/>
      </w:pPr>
      <w:r w:rsidRPr="36705035">
        <w:rPr>
          <w:b/>
          <w:bCs/>
          <w:color w:val="4472C4" w:themeColor="accent1"/>
        </w:rPr>
        <w:t>Indirect costs</w:t>
      </w:r>
      <w:r>
        <w:t xml:space="preserve"> are usually costs, which </w:t>
      </w:r>
      <w:r w:rsidRPr="36705035">
        <w:rPr>
          <w:b/>
          <w:bCs/>
          <w:color w:val="4472C4" w:themeColor="accent1"/>
        </w:rPr>
        <w:t>are not or cannot be connected directly to the implementation of the operation</w:t>
      </w:r>
      <w:r w:rsidRPr="36705035">
        <w:rPr>
          <w:color w:val="4472C4" w:themeColor="accent1"/>
        </w:rPr>
        <w:t xml:space="preserve"> </w:t>
      </w:r>
      <w:r>
        <w:t>in question. Such costs could include</w:t>
      </w:r>
      <w:r w:rsidR="462548AC">
        <w:t>, for example,</w:t>
      </w:r>
      <w:r>
        <w:t xml:space="preserve"> administrative expenses, for which it is difficult to </w:t>
      </w:r>
      <w:r w:rsidR="17006B4A">
        <w:t>precisely determine</w:t>
      </w:r>
      <w:r>
        <w:t xml:space="preserve"> the amount attributable to a specific operation or project (typical administrative/staff expenditure, such as: management costs, recruitment expenses, costs for the accountant or the cleaner, etc.; telephone, </w:t>
      </w:r>
      <w:proofErr w:type="gramStart"/>
      <w:r>
        <w:t>water</w:t>
      </w:r>
      <w:proofErr w:type="gramEnd"/>
      <w:r>
        <w:t xml:space="preserve"> or electricity expenses, and so on).</w:t>
      </w:r>
    </w:p>
    <w:p w14:paraId="02CB3C3B" w14:textId="4833FDD6" w:rsidR="00EB2DD2" w:rsidRDefault="10D4B199" w:rsidP="00B74801">
      <w:pPr>
        <w:pStyle w:val="ListParagraph"/>
        <w:numPr>
          <w:ilvl w:val="0"/>
          <w:numId w:val="93"/>
        </w:numPr>
        <w:ind w:left="993"/>
      </w:pPr>
      <w:r w:rsidRPr="5E9C5D4B">
        <w:rPr>
          <w:b/>
          <w:bCs/>
          <w:color w:val="4472C4" w:themeColor="accent1"/>
        </w:rPr>
        <w:t>Staff costs</w:t>
      </w:r>
      <w:r>
        <w:t xml:space="preserve"> are defined in national rules and normally are the costs deriving from an agreement between employer and employee or service contracts for external staff (provided that these costs are clearly identifiable). Staff costs normally include the total remuneration, including in-kind benefits in line with collective agreements, paid to people in return for work related to the operation. They also include taxes and employees’ social security contributions (first and second pillar, third pillar only if set out in a collective agreement or in the employment agreement) as well </w:t>
      </w:r>
      <w:r>
        <w:lastRenderedPageBreak/>
        <w:t xml:space="preserve">as the employer’s compulsory and voluntary social contributions. Staff costs can be </w:t>
      </w:r>
      <w:r w:rsidRPr="00ED591F">
        <w:rPr>
          <w:b/>
          <w:bCs/>
          <w:color w:val="4472C4" w:themeColor="accent1"/>
          <w:shd w:val="clear" w:color="auto" w:fill="E6E6E6"/>
        </w:rPr>
        <w:t xml:space="preserve">direct </w:t>
      </w:r>
      <w:r>
        <w:t>or</w:t>
      </w:r>
      <w:r w:rsidRPr="00ED591F">
        <w:rPr>
          <w:b/>
          <w:bCs/>
          <w:color w:val="4472C4" w:themeColor="accent1"/>
          <w:shd w:val="clear" w:color="auto" w:fill="E6E6E6"/>
        </w:rPr>
        <w:t xml:space="preserve"> indirect</w:t>
      </w:r>
      <w:r>
        <w:t xml:space="preserve"> costs, depending on a case-by case analysis</w:t>
      </w:r>
      <w:r w:rsidR="5E641AE0">
        <w:t xml:space="preserve"> and on the role of the staff in the operation</w:t>
      </w:r>
      <w:r>
        <w:t>.</w:t>
      </w:r>
    </w:p>
    <w:p w14:paraId="66E2A67D" w14:textId="59A75CF1" w:rsidR="005E7F7E" w:rsidRPr="00EB2DD2" w:rsidRDefault="005E7F7E" w:rsidP="00B32403">
      <w:pPr>
        <w:pStyle w:val="Style3"/>
      </w:pPr>
      <w:r>
        <w:t>Particularities of the definition of Staff costs</w:t>
      </w:r>
    </w:p>
    <w:p w14:paraId="535101E3" w14:textId="6D00DA4D" w:rsidR="00D06C9E" w:rsidRDefault="005E7F7E" w:rsidP="00D06C9E">
      <w:r>
        <w:t>F</w:t>
      </w:r>
      <w:r w:rsidR="00EB2DD2" w:rsidRPr="00EB2DD2">
        <w:t>or the purpose of applying the flat rates of Article 54</w:t>
      </w:r>
      <w:r w:rsidR="00181733">
        <w:t>(b)</w:t>
      </w:r>
      <w:r w:rsidR="00EB2DD2" w:rsidRPr="00EB2DD2">
        <w:t xml:space="preserve"> CPR and of Article 56(1) CPR (or other flat rate established by the managing authority on the basis of Article 53(3) CPR which is to be applied to direct staff costs), the total value of the remuneration as defined by national rules can be considered as staff costs as they represent the actual remuneration for the work of that person in the operation and therefore should be taken into account for determining other types of costs of the operation (which are calculated by applying a flat rate to the direct staff costs).</w:t>
      </w:r>
    </w:p>
    <w:p w14:paraId="498BA7D9" w14:textId="10BD902E" w:rsidR="005E7F7E" w:rsidRDefault="00D06C9E" w:rsidP="001C6426">
      <w:pPr>
        <w:ind w:left="851"/>
      </w:pPr>
      <w:r>
        <w:rPr>
          <w:b/>
          <w:bCs/>
          <w:noProof/>
          <w:color w:val="4472C4" w:themeColor="accent1"/>
          <w:shd w:val="clear" w:color="auto" w:fill="E6E6E6"/>
        </w:rPr>
        <w:drawing>
          <wp:anchor distT="0" distB="0" distL="114300" distR="114300" simplePos="0" relativeHeight="251648512" behindDoc="0" locked="0" layoutInCell="1" allowOverlap="1" wp14:anchorId="21A8D8C8" wp14:editId="11D5E80C">
            <wp:simplePos x="0" y="0"/>
            <wp:positionH relativeFrom="margin">
              <wp:posOffset>-9525</wp:posOffset>
            </wp:positionH>
            <wp:positionV relativeFrom="paragraph">
              <wp:posOffset>10795</wp:posOffset>
            </wp:positionV>
            <wp:extent cx="428625" cy="428625"/>
            <wp:effectExtent l="0" t="0" r="9525" b="0"/>
            <wp:wrapSquare wrapText="bothSides"/>
            <wp:docPr id="29" name="Graphic 29" descr="Blackboard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Blackboard outline"/>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428625" cy="428625"/>
                    </a:xfrm>
                    <a:prstGeom prst="rect">
                      <a:avLst/>
                    </a:prstGeom>
                  </pic:spPr>
                </pic:pic>
              </a:graphicData>
            </a:graphic>
            <wp14:sizeRelH relativeFrom="margin">
              <wp14:pctWidth>0</wp14:pctWidth>
            </wp14:sizeRelH>
            <wp14:sizeRelV relativeFrom="margin">
              <wp14:pctHeight>0</wp14:pctHeight>
            </wp14:sizeRelV>
          </wp:anchor>
        </w:drawing>
      </w:r>
      <w:r w:rsidR="00EB2DD2" w:rsidRPr="00EB2DD2">
        <w:t>This applies also to cases where the salary is (partly) reimbursed or funded by third parties (</w:t>
      </w:r>
      <w:r w:rsidRPr="00EB2DD2">
        <w:t>e.g.,</w:t>
      </w:r>
      <w:r w:rsidR="00EB2DD2" w:rsidRPr="00EB2DD2">
        <w:t xml:space="preserve"> direct staff was recruited with a recruitment subsidy; the flat rate is applied to the total value of the remuneration even if a part of it is paid by a third party).</w:t>
      </w:r>
      <w:r w:rsidR="005E7F7E">
        <w:t xml:space="preserve"> If staff costs for external staff comes from a service contract, the staff costs </w:t>
      </w:r>
      <w:proofErr w:type="gramStart"/>
      <w:r w:rsidR="005E7F7E">
        <w:t>have to</w:t>
      </w:r>
      <w:proofErr w:type="gramEnd"/>
      <w:r w:rsidR="001C6426">
        <w:t xml:space="preserve"> be</w:t>
      </w:r>
      <w:r w:rsidR="005E7F7E">
        <w:t xml:space="preserve"> clearly identifiable. </w:t>
      </w:r>
      <w:r w:rsidR="005E7F7E" w:rsidRPr="00EB2DD2">
        <w:t>For example, if a beneficiary contracts the services of an external trainer for its in-house training sessions, the invoice needs to identify the different types of costs. The salary of the trainer will be considered an external staff cost. If the staff costs of the trainer</w:t>
      </w:r>
      <w:r>
        <w:t xml:space="preserve"> are</w:t>
      </w:r>
      <w:r w:rsidR="005E7F7E" w:rsidRPr="00EB2DD2">
        <w:t xml:space="preserve"> not identifiable as a distinct category from other categories of costs, for example teaching materials, then they cannot be used as the basis of flat rates, for example the 40% flat rate as set out in Article 56(1) CPR.</w:t>
      </w:r>
    </w:p>
    <w:p w14:paraId="75C78CEF" w14:textId="1A8C5E75" w:rsidR="00EB2DD2" w:rsidRDefault="1B7895AA" w:rsidP="00B32403">
      <w:r>
        <w:t>T</w:t>
      </w:r>
      <w:r w:rsidR="10D4B199">
        <w:t xml:space="preserve">he definition of direct staff costs is not linked to whether the staff costs take the form </w:t>
      </w:r>
      <w:r w:rsidR="10D4B199" w:rsidRPr="4AF773E3">
        <w:rPr>
          <w:b/>
          <w:bCs/>
          <w:color w:val="4472C4" w:themeColor="accent1"/>
        </w:rPr>
        <w:t>of in-kind contribution expenditure</w:t>
      </w:r>
      <w:r w:rsidR="10D4B199" w:rsidRPr="4AF773E3">
        <w:rPr>
          <w:color w:val="4472C4" w:themeColor="accent1"/>
        </w:rPr>
        <w:t xml:space="preserve"> </w:t>
      </w:r>
      <w:r w:rsidR="10D4B199">
        <w:t xml:space="preserve">or not. Therefore, the voluntary work in the form of </w:t>
      </w:r>
      <w:r w:rsidR="520A5681">
        <w:t>in-kind</w:t>
      </w:r>
      <w:r w:rsidR="10D4B199">
        <w:t xml:space="preserve"> contribution can be included in the basis amount for the calculation of flat rates, provided Article 67(1) CPR is respected. </w:t>
      </w:r>
    </w:p>
    <w:p w14:paraId="0F9566B2" w14:textId="06D2A566" w:rsidR="00894384" w:rsidRDefault="00702787" w:rsidP="00B32403">
      <w:r>
        <w:rPr>
          <w:b/>
          <w:bCs/>
          <w:iCs/>
          <w:noProof/>
          <w:color w:val="4472C4" w:themeColor="accent1"/>
          <w:shd w:val="clear" w:color="auto" w:fill="E6E6E6"/>
        </w:rPr>
        <w:drawing>
          <wp:anchor distT="0" distB="0" distL="114300" distR="114300" simplePos="0" relativeHeight="251619840" behindDoc="0" locked="0" layoutInCell="1" allowOverlap="1" wp14:anchorId="6C311380" wp14:editId="6E18A4A1">
            <wp:simplePos x="0" y="0"/>
            <wp:positionH relativeFrom="margin">
              <wp:align>left</wp:align>
            </wp:positionH>
            <wp:positionV relativeFrom="paragraph">
              <wp:posOffset>7013</wp:posOffset>
            </wp:positionV>
            <wp:extent cx="400685" cy="400685"/>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0685" cy="400685"/>
                    </a:xfrm>
                    <a:prstGeom prst="rect">
                      <a:avLst/>
                    </a:prstGeom>
                    <a:noFill/>
                  </pic:spPr>
                </pic:pic>
              </a:graphicData>
            </a:graphic>
            <wp14:sizeRelH relativeFrom="margin">
              <wp14:pctWidth>0</wp14:pctWidth>
            </wp14:sizeRelH>
            <wp14:sizeRelV relativeFrom="margin">
              <wp14:pctHeight>0</wp14:pctHeight>
            </wp14:sizeRelV>
          </wp:anchor>
        </w:drawing>
      </w:r>
      <w:r w:rsidR="00EB2DD2" w:rsidRPr="00FC5627">
        <w:rPr>
          <w:b/>
          <w:bCs/>
          <w:color w:val="4472C4" w:themeColor="accent1"/>
        </w:rPr>
        <w:t>Travel costs</w:t>
      </w:r>
      <w:r w:rsidR="00EB2DD2" w:rsidRPr="00EB2DD2">
        <w:t xml:space="preserve"> are not considered to be staff costs, apart from expenses for commuting to the workplace if national rules determine that they </w:t>
      </w:r>
      <w:r w:rsidR="00894384">
        <w:t>are</w:t>
      </w:r>
      <w:r w:rsidR="00EB2DD2" w:rsidRPr="00EB2DD2">
        <w:t xml:space="preserve"> part of the gross employment costs. </w:t>
      </w:r>
    </w:p>
    <w:p w14:paraId="6B954A80" w14:textId="627A6EF1" w:rsidR="000A20EA" w:rsidRDefault="00EB2DD2" w:rsidP="00894384">
      <w:pPr>
        <w:ind w:left="851"/>
      </w:pPr>
      <w:r w:rsidRPr="00FC5627">
        <w:rPr>
          <w:b/>
          <w:bCs/>
          <w:color w:val="4472C4" w:themeColor="accent1"/>
        </w:rPr>
        <w:t>Allowances or salaries</w:t>
      </w:r>
      <w:r w:rsidRPr="00FC5627">
        <w:rPr>
          <w:color w:val="4472C4" w:themeColor="accent1"/>
        </w:rPr>
        <w:t xml:space="preserve"> </w:t>
      </w:r>
      <w:r w:rsidRPr="00EB2DD2">
        <w:t xml:space="preserve">disbursed for the benefit of participants in operations supported by the ERDF, the ESF+, the JTF, the AMIF, the ISF and the BMVI are not considered to be staff costs either (see Article 56(1) and (2) CPR). </w:t>
      </w:r>
      <w:r w:rsidR="000A20EA">
        <w:t>F</w:t>
      </w:r>
      <w:r w:rsidRPr="00EB2DD2">
        <w:t xml:space="preserve">or example, in an operation aiming at recruiting new persons, the wages of newly hired workers are not considered as </w:t>
      </w:r>
      <w:r w:rsidRPr="00EB2DD2">
        <w:rPr>
          <w:lang w:val="en-US"/>
        </w:rPr>
        <w:t xml:space="preserve">“staff costs” for the purposes of Article 56 CPR </w:t>
      </w:r>
      <w:r w:rsidRPr="00EB2DD2">
        <w:t xml:space="preserve">as these persons are not carrying out any task for implementing the operation – they are considered as salaries paid for the benefit of participants. Therefore, they cannot be calculated into the basis of the flat rate defined in Article 56(1) of CPR. </w:t>
      </w:r>
    </w:p>
    <w:p w14:paraId="2286DF70" w14:textId="70F4807A" w:rsidR="00EB2DD2" w:rsidRPr="00EB2DD2" w:rsidRDefault="000A20EA" w:rsidP="00C1557C">
      <w:pPr>
        <w:ind w:left="851"/>
      </w:pPr>
      <w:r>
        <w:rPr>
          <w:noProof/>
          <w:color w:val="2B579A"/>
          <w:shd w:val="clear" w:color="auto" w:fill="E6E6E6"/>
        </w:rPr>
        <w:drawing>
          <wp:anchor distT="0" distB="0" distL="114300" distR="114300" simplePos="0" relativeHeight="251603456" behindDoc="0" locked="0" layoutInCell="1" allowOverlap="1" wp14:anchorId="0F4C3B37" wp14:editId="73EBF408">
            <wp:simplePos x="0" y="0"/>
            <wp:positionH relativeFrom="column">
              <wp:posOffset>112541</wp:posOffset>
            </wp:positionH>
            <wp:positionV relativeFrom="paragraph">
              <wp:posOffset>27549</wp:posOffset>
            </wp:positionV>
            <wp:extent cx="267286" cy="267286"/>
            <wp:effectExtent l="0" t="0" r="0" b="0"/>
            <wp:wrapSquare wrapText="bothSides"/>
            <wp:docPr id="16" name="Graphic 16" descr="Magnifying glas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Magnifying glass with solid fill"/>
                    <pic:cNvPicPr/>
                  </pic:nvPicPr>
                  <pic:blipFill>
                    <a:blip r:embed="rId29" cstate="print">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267286" cy="267286"/>
                    </a:xfrm>
                    <a:prstGeom prst="rect">
                      <a:avLst/>
                    </a:prstGeom>
                  </pic:spPr>
                </pic:pic>
              </a:graphicData>
            </a:graphic>
          </wp:anchor>
        </w:drawing>
      </w:r>
      <w:r w:rsidR="29826C6C">
        <w:t>In the context of Article 56 CPR, t</w:t>
      </w:r>
      <w:r w:rsidR="7048F0E2" w:rsidRPr="00EB2DD2">
        <w:t xml:space="preserve">he meaning of </w:t>
      </w:r>
      <w:r w:rsidR="7048F0E2" w:rsidRPr="000A20EA">
        <w:rPr>
          <w:b/>
          <w:bCs/>
          <w:color w:val="4472C4" w:themeColor="accent1"/>
        </w:rPr>
        <w:t>allowance</w:t>
      </w:r>
      <w:r w:rsidR="7048F0E2" w:rsidRPr="000A20EA">
        <w:rPr>
          <w:color w:val="4472C4" w:themeColor="accent1"/>
        </w:rPr>
        <w:t xml:space="preserve"> </w:t>
      </w:r>
      <w:r w:rsidR="7048F0E2" w:rsidRPr="00EB2DD2">
        <w:t>is to be understood as a sum of money paid to participants for possible expenses related to the objective of a given operation.</w:t>
      </w:r>
    </w:p>
    <w:p w14:paraId="5CEA3B42" w14:textId="1AA47C7F" w:rsidR="0073045B" w:rsidRPr="002113B2" w:rsidRDefault="00BB581F" w:rsidP="00BB581F">
      <w:pPr>
        <w:pStyle w:val="Heading3"/>
        <w:ind w:left="720" w:hanging="720"/>
        <w:rPr>
          <w:color w:val="4472C4" w:themeColor="accent1"/>
        </w:rPr>
      </w:pPr>
      <w:bookmarkStart w:id="13" w:name="_Toc168350295"/>
      <w:r w:rsidRPr="002113B2">
        <w:rPr>
          <w:color w:val="4472C4" w:themeColor="accent1"/>
        </w:rPr>
        <w:t xml:space="preserve">2.2.2. </w:t>
      </w:r>
      <w:r w:rsidR="00736D3A">
        <w:rPr>
          <w:color w:val="4472C4" w:themeColor="accent1"/>
        </w:rPr>
        <w:tab/>
      </w:r>
      <w:r w:rsidR="0073045B" w:rsidRPr="002113B2">
        <w:rPr>
          <w:color w:val="4472C4" w:themeColor="accent1"/>
        </w:rPr>
        <w:t>Flat rates for determining indirect costs</w:t>
      </w:r>
      <w:r w:rsidR="00EA2F1E" w:rsidRPr="002113B2">
        <w:rPr>
          <w:color w:val="4472C4" w:themeColor="accent1"/>
        </w:rPr>
        <w:t xml:space="preserve"> (Article 54 CPR)</w:t>
      </w:r>
      <w:bookmarkEnd w:id="13"/>
    </w:p>
    <w:p w14:paraId="6A69E211" w14:textId="630DC90B" w:rsidR="00B366BF" w:rsidRPr="00AF4E70" w:rsidRDefault="1504C7A9" w:rsidP="00B366BF">
      <w:r w:rsidRPr="003969E3">
        <w:t xml:space="preserve">The first subparagraph of Article 54 CPR determines that where the implementation of an operation gives rise to indirect costs, </w:t>
      </w:r>
      <w:r w:rsidRPr="003E645C">
        <w:t xml:space="preserve">they may be calculated </w:t>
      </w:r>
      <w:proofErr w:type="gramStart"/>
      <w:r w:rsidRPr="003E645C">
        <w:t>on the basis of</w:t>
      </w:r>
      <w:proofErr w:type="gramEnd"/>
      <w:r w:rsidRPr="003E645C">
        <w:t xml:space="preserve"> one of the flat rates set out in points (a) and (b) of its first subparagraph</w:t>
      </w:r>
      <w:r w:rsidRPr="003969E3">
        <w:t xml:space="preserve">. </w:t>
      </w:r>
      <w:r w:rsidR="7E8DF066">
        <w:t>Article 54(a) CPR</w:t>
      </w:r>
      <w:r w:rsidR="7E8DF066" w:rsidRPr="00AF4E70">
        <w:t xml:space="preserve"> </w:t>
      </w:r>
      <w:r w:rsidR="7E8DF066">
        <w:t xml:space="preserve">introduces a flat rate of </w:t>
      </w:r>
      <w:r w:rsidR="7E8DF066" w:rsidRPr="00255A02">
        <w:rPr>
          <w:b/>
          <w:bCs/>
          <w:color w:val="4472C4" w:themeColor="accent1"/>
        </w:rPr>
        <w:t xml:space="preserve">up to 7% of eligible direct costs </w:t>
      </w:r>
      <w:r w:rsidR="7E8DF066">
        <w:t>to calculate indirect costs</w:t>
      </w:r>
      <w:r w:rsidR="1C826B9F">
        <w:t>.</w:t>
      </w:r>
      <w:r w:rsidR="7E8DF066">
        <w:t xml:space="preserve"> Article 54(b) CPR contains </w:t>
      </w:r>
      <w:r w:rsidR="7E8DF066" w:rsidRPr="00AF4E70">
        <w:t xml:space="preserve">a flat rate of </w:t>
      </w:r>
      <w:r w:rsidR="7E8DF066" w:rsidRPr="00255A02">
        <w:rPr>
          <w:b/>
          <w:bCs/>
          <w:color w:val="4472C4" w:themeColor="accent1"/>
        </w:rPr>
        <w:t>up to</w:t>
      </w:r>
      <w:r w:rsidR="7E8DF066" w:rsidRPr="00255A02">
        <w:rPr>
          <w:color w:val="4472C4" w:themeColor="accent1"/>
        </w:rPr>
        <w:t xml:space="preserve"> </w:t>
      </w:r>
      <w:r w:rsidR="7E8DF066" w:rsidRPr="00255A02">
        <w:rPr>
          <w:b/>
          <w:bCs/>
          <w:color w:val="4472C4" w:themeColor="accent1"/>
        </w:rPr>
        <w:t>15</w:t>
      </w:r>
      <w:r w:rsidR="7E8DF066" w:rsidRPr="00255A02">
        <w:rPr>
          <w:b/>
          <w:bCs/>
          <w:color w:val="4472C4" w:themeColor="accent1"/>
          <w:w w:val="50"/>
        </w:rPr>
        <w:t> </w:t>
      </w:r>
      <w:r w:rsidR="7E8DF066" w:rsidRPr="00255A02">
        <w:rPr>
          <w:b/>
          <w:bCs/>
          <w:color w:val="4472C4" w:themeColor="accent1"/>
        </w:rPr>
        <w:t>% of the direct staff costs</w:t>
      </w:r>
      <w:r w:rsidR="7E8DF066" w:rsidRPr="00255A02">
        <w:rPr>
          <w:color w:val="4472C4" w:themeColor="accent1"/>
        </w:rPr>
        <w:t xml:space="preserve"> </w:t>
      </w:r>
      <w:r w:rsidR="7E8DF066" w:rsidRPr="00AF4E70">
        <w:t>to calculate the indirect costs.</w:t>
      </w:r>
      <w:r w:rsidR="7E8DF066">
        <w:t xml:space="preserve"> Both </w:t>
      </w:r>
      <w:r w:rsidR="7E8DF066" w:rsidRPr="00AF4E70">
        <w:t>flat rate</w:t>
      </w:r>
      <w:r w:rsidR="7E8DF066">
        <w:t>s</w:t>
      </w:r>
      <w:r w:rsidR="7E8DF066" w:rsidRPr="00AF4E70">
        <w:t xml:space="preserve"> may be used directly by the managing authority, without any justification</w:t>
      </w:r>
      <w:r w:rsidR="7E8DF066">
        <w:t xml:space="preserve"> of the calculation of the rate, if it is within the ceiling set by the Regulation</w:t>
      </w:r>
      <w:r w:rsidR="7E8DF066" w:rsidRPr="00AF4E70">
        <w:t>.</w:t>
      </w:r>
      <w:r w:rsidR="7E8DF066">
        <w:t xml:space="preserve"> </w:t>
      </w:r>
    </w:p>
    <w:p w14:paraId="40D9CFA7" w14:textId="0649E3D3" w:rsidR="00B366BF" w:rsidRDefault="003969E3" w:rsidP="00B32403">
      <w:r w:rsidRPr="003969E3">
        <w:t xml:space="preserve">Article 54 CPR does not provide an exhaustive list of methods on how to establish flat rates for indirect costs of an operation and allows the Member States to use a flat rate for indirect costs established </w:t>
      </w:r>
      <w:proofErr w:type="gramStart"/>
      <w:r w:rsidRPr="003969E3">
        <w:t>on the basis of</w:t>
      </w:r>
      <w:proofErr w:type="gramEnd"/>
      <w:r w:rsidRPr="003969E3">
        <w:t xml:space="preserve"> other methods, i.e., those stated in Article 53(3)</w:t>
      </w:r>
      <w:r w:rsidR="00255A02">
        <w:t xml:space="preserve"> (b) to (e)</w:t>
      </w:r>
      <w:r w:rsidRPr="003969E3">
        <w:t xml:space="preserve"> CPR. </w:t>
      </w:r>
    </w:p>
    <w:p w14:paraId="56481084" w14:textId="383FB51E" w:rsidR="00084112" w:rsidRDefault="00255A02" w:rsidP="00F0451F">
      <w:pPr>
        <w:ind w:left="851"/>
      </w:pPr>
      <w:r>
        <w:rPr>
          <w:b/>
          <w:bCs/>
          <w:iCs/>
          <w:noProof/>
          <w:color w:val="4472C4" w:themeColor="accent1"/>
          <w:shd w:val="clear" w:color="auto" w:fill="E6E6E6"/>
        </w:rPr>
        <w:lastRenderedPageBreak/>
        <w:drawing>
          <wp:anchor distT="0" distB="0" distL="114300" distR="114300" simplePos="0" relativeHeight="251607552" behindDoc="0" locked="0" layoutInCell="1" allowOverlap="1" wp14:anchorId="6F536286" wp14:editId="435C3905">
            <wp:simplePos x="0" y="0"/>
            <wp:positionH relativeFrom="margin">
              <wp:align>left</wp:align>
            </wp:positionH>
            <wp:positionV relativeFrom="paragraph">
              <wp:posOffset>5080</wp:posOffset>
            </wp:positionV>
            <wp:extent cx="400685" cy="40068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0685" cy="400685"/>
                    </a:xfrm>
                    <a:prstGeom prst="rect">
                      <a:avLst/>
                    </a:prstGeom>
                    <a:noFill/>
                  </pic:spPr>
                </pic:pic>
              </a:graphicData>
            </a:graphic>
            <wp14:sizeRelH relativeFrom="margin">
              <wp14:pctWidth>0</wp14:pctWidth>
            </wp14:sizeRelH>
            <wp14:sizeRelV relativeFrom="margin">
              <wp14:pctHeight>0</wp14:pctHeight>
            </wp14:sizeRelV>
          </wp:anchor>
        </w:drawing>
      </w:r>
      <w:r w:rsidR="003969E3" w:rsidRPr="003969E3">
        <w:t xml:space="preserve">However, a flat rate covering indirect costs established </w:t>
      </w:r>
      <w:proofErr w:type="gramStart"/>
      <w:r w:rsidR="003969E3" w:rsidRPr="003969E3">
        <w:t>on the basis of</w:t>
      </w:r>
      <w:proofErr w:type="gramEnd"/>
      <w:r w:rsidR="003969E3" w:rsidRPr="003969E3">
        <w:t xml:space="preserve"> a fair, equitable and verifiable method referred to in Article 53(3)(a) CPR </w:t>
      </w:r>
      <w:r w:rsidR="003969E3" w:rsidRPr="00255A02">
        <w:rPr>
          <w:b/>
          <w:bCs/>
          <w:color w:val="4472C4" w:themeColor="accent1"/>
        </w:rPr>
        <w:t>is subject to a ceiling of 25 %</w:t>
      </w:r>
      <w:r w:rsidR="00B366BF">
        <w:rPr>
          <w:b/>
          <w:bCs/>
          <w:color w:val="4472C4" w:themeColor="accent1"/>
        </w:rPr>
        <w:t xml:space="preserve"> of the eligible direct costs</w:t>
      </w:r>
      <w:r w:rsidR="003969E3" w:rsidRPr="003969E3">
        <w:t xml:space="preserve"> set out in Article 54</w:t>
      </w:r>
      <w:r>
        <w:t>(</w:t>
      </w:r>
      <w:r w:rsidR="00C33EFB">
        <w:t>c</w:t>
      </w:r>
      <w:r>
        <w:t>)</w:t>
      </w:r>
      <w:r w:rsidR="003969E3" w:rsidRPr="003969E3">
        <w:t xml:space="preserve"> CPR. Flat rates not established on that basis but rather on another method among those referred to in </w:t>
      </w:r>
      <w:r>
        <w:t>Article 53</w:t>
      </w:r>
      <w:r w:rsidR="004B7E2D">
        <w:t>(3)</w:t>
      </w:r>
      <w:r w:rsidR="003969E3" w:rsidRPr="003969E3">
        <w:t>(b) to (e)</w:t>
      </w:r>
      <w:r>
        <w:t xml:space="preserve"> CPR</w:t>
      </w:r>
      <w:r w:rsidR="003969E3" w:rsidRPr="003969E3">
        <w:t>, are not subject to a ceiling.</w:t>
      </w:r>
    </w:p>
    <w:p w14:paraId="2D43FAC7" w14:textId="2B957B5C" w:rsidR="0073045B" w:rsidRPr="002113B2" w:rsidRDefault="00BB581F" w:rsidP="00BB581F">
      <w:pPr>
        <w:pStyle w:val="Heading3"/>
        <w:ind w:left="720" w:hanging="720"/>
        <w:rPr>
          <w:color w:val="4472C4" w:themeColor="accent1"/>
        </w:rPr>
      </w:pPr>
      <w:bookmarkStart w:id="14" w:name="_Toc168350296"/>
      <w:r w:rsidRPr="002113B2">
        <w:rPr>
          <w:color w:val="4472C4" w:themeColor="accent1"/>
        </w:rPr>
        <w:t xml:space="preserve">2.2.3. </w:t>
      </w:r>
      <w:r w:rsidR="00736D3A">
        <w:rPr>
          <w:color w:val="4472C4" w:themeColor="accent1"/>
        </w:rPr>
        <w:tab/>
      </w:r>
      <w:r w:rsidR="0073045B" w:rsidRPr="002113B2">
        <w:rPr>
          <w:color w:val="4472C4" w:themeColor="accent1"/>
        </w:rPr>
        <w:t>Flat rate for determining direct staff costs</w:t>
      </w:r>
      <w:r w:rsidR="00EA2F1E" w:rsidRPr="002113B2">
        <w:rPr>
          <w:color w:val="4472C4" w:themeColor="accent1"/>
        </w:rPr>
        <w:t xml:space="preserve"> (Article 55</w:t>
      </w:r>
      <w:r w:rsidR="00EA5972">
        <w:rPr>
          <w:color w:val="4472C4" w:themeColor="accent1"/>
        </w:rPr>
        <w:t>(</w:t>
      </w:r>
      <w:r w:rsidR="00EA2F1E" w:rsidRPr="002113B2">
        <w:rPr>
          <w:color w:val="4472C4" w:themeColor="accent1"/>
        </w:rPr>
        <w:t>1</w:t>
      </w:r>
      <w:r w:rsidR="00EA5972">
        <w:rPr>
          <w:color w:val="4472C4" w:themeColor="accent1"/>
        </w:rPr>
        <w:t>)</w:t>
      </w:r>
      <w:r w:rsidR="00EA2F1E" w:rsidRPr="002113B2">
        <w:rPr>
          <w:color w:val="4472C4" w:themeColor="accent1"/>
        </w:rPr>
        <w:t xml:space="preserve"> CPR)</w:t>
      </w:r>
      <w:bookmarkEnd w:id="14"/>
    </w:p>
    <w:p w14:paraId="59EE45CE" w14:textId="6AAD6A3D" w:rsidR="00763393" w:rsidRPr="00763393" w:rsidRDefault="00763393" w:rsidP="00B32403">
      <w:r w:rsidRPr="00763393">
        <w:t>Article 55(1) CPR states that the direct staff costs of an operation may be calculated a</w:t>
      </w:r>
      <w:r>
        <w:t>s</w:t>
      </w:r>
      <w:r w:rsidRPr="00763393">
        <w:t xml:space="preserve"> a flat rate of </w:t>
      </w:r>
      <w:r w:rsidRPr="00763393">
        <w:rPr>
          <w:b/>
          <w:bCs/>
          <w:color w:val="4472C4" w:themeColor="accent1"/>
        </w:rPr>
        <w:t>up to 20 %</w:t>
      </w:r>
      <w:r w:rsidRPr="00763393">
        <w:t xml:space="preserve"> </w:t>
      </w:r>
      <w:r w:rsidRPr="00B366BF">
        <w:rPr>
          <w:b/>
          <w:bCs/>
          <w:color w:val="4472C4" w:themeColor="accent1"/>
        </w:rPr>
        <w:t>of the direct costs other than the staff costs</w:t>
      </w:r>
      <w:r w:rsidRPr="00763393">
        <w:t xml:space="preserve"> of that operation</w:t>
      </w:r>
      <w:r w:rsidR="00853398">
        <w:t xml:space="preserve"> </w:t>
      </w:r>
      <w:r w:rsidRPr="00763393">
        <w:t>without there being a requirement for the Member State to perform a calculation to determine the applicable rate.</w:t>
      </w:r>
    </w:p>
    <w:p w14:paraId="24F8E45A" w14:textId="20E27253" w:rsidR="00763393" w:rsidRPr="00763393" w:rsidRDefault="000A53D0" w:rsidP="00853398">
      <w:pPr>
        <w:ind w:left="851"/>
      </w:pPr>
      <w:r>
        <w:rPr>
          <w:b/>
          <w:bCs/>
          <w:iCs/>
          <w:noProof/>
          <w:color w:val="4472C4" w:themeColor="accent1"/>
          <w:shd w:val="clear" w:color="auto" w:fill="E6E6E6"/>
        </w:rPr>
        <w:drawing>
          <wp:anchor distT="0" distB="0" distL="114300" distR="114300" simplePos="0" relativeHeight="251611648" behindDoc="0" locked="0" layoutInCell="1" allowOverlap="1" wp14:anchorId="15C464E2" wp14:editId="289EA8D1">
            <wp:simplePos x="0" y="0"/>
            <wp:positionH relativeFrom="margin">
              <wp:align>left</wp:align>
            </wp:positionH>
            <wp:positionV relativeFrom="paragraph">
              <wp:posOffset>49286</wp:posOffset>
            </wp:positionV>
            <wp:extent cx="400685" cy="40068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0685" cy="400685"/>
                    </a:xfrm>
                    <a:prstGeom prst="rect">
                      <a:avLst/>
                    </a:prstGeom>
                    <a:noFill/>
                  </pic:spPr>
                </pic:pic>
              </a:graphicData>
            </a:graphic>
            <wp14:sizeRelH relativeFrom="margin">
              <wp14:pctWidth>0</wp14:pctWidth>
            </wp14:sizeRelH>
            <wp14:sizeRelV relativeFrom="margin">
              <wp14:pctHeight>0</wp14:pctHeight>
            </wp14:sizeRelV>
          </wp:anchor>
        </w:drawing>
      </w:r>
      <w:r w:rsidR="467E4494" w:rsidRPr="00763393">
        <w:t xml:space="preserve">However, where the </w:t>
      </w:r>
      <w:r w:rsidR="467E4494" w:rsidRPr="00BB18D0">
        <w:rPr>
          <w:b/>
          <w:bCs/>
          <w:color w:val="4472C4" w:themeColor="accent1"/>
        </w:rPr>
        <w:t>direct costs of that</w:t>
      </w:r>
      <w:r w:rsidR="467E4494" w:rsidRPr="00763393">
        <w:t xml:space="preserve"> </w:t>
      </w:r>
      <w:r w:rsidR="467E4494" w:rsidRPr="000A53D0">
        <w:rPr>
          <w:b/>
          <w:bCs/>
          <w:color w:val="4472C4" w:themeColor="accent1"/>
        </w:rPr>
        <w:t>operation include public works contracts or supply or service contracts</w:t>
      </w:r>
      <w:r w:rsidR="467E4494" w:rsidRPr="00763393">
        <w:t xml:space="preserve"> which exceed the threshold set out</w:t>
      </w:r>
      <w:r w:rsidR="761891E5">
        <w:t xml:space="preserve"> in the EU’s Directive on public procurement, notably</w:t>
      </w:r>
      <w:r w:rsidR="467E4494" w:rsidRPr="00763393">
        <w:t xml:space="preserve"> Article 4 Directive 2014/24/EU</w:t>
      </w:r>
      <w:r w:rsidR="00A57DB1">
        <w:rPr>
          <w:rStyle w:val="FootnoteReference"/>
        </w:rPr>
        <w:footnoteReference w:id="10"/>
      </w:r>
      <w:r w:rsidR="467E4494" w:rsidRPr="00763393">
        <w:t xml:space="preserve"> </w:t>
      </w:r>
      <w:r w:rsidR="761891E5">
        <w:t>and</w:t>
      </w:r>
      <w:r w:rsidR="467E4494" w:rsidRPr="00763393">
        <w:t xml:space="preserve"> Article 15 Directive 2014/25/EU,</w:t>
      </w:r>
      <w:r w:rsidR="007E7C8F">
        <w:rPr>
          <w:rStyle w:val="FootnoteReference"/>
        </w:rPr>
        <w:footnoteReference w:id="11"/>
      </w:r>
      <w:r w:rsidR="467E4494" w:rsidRPr="00763393">
        <w:t xml:space="preserve"> the application of the above flat rate requires to perform a calculation to determine the applicable </w:t>
      </w:r>
      <w:r w:rsidR="467E4494" w:rsidRPr="00B3546A">
        <w:t>rate.</w:t>
      </w:r>
      <w:r w:rsidR="266B7B0A" w:rsidRPr="00BB18D0">
        <w:t xml:space="preserve"> This applies to all work/supply/services contracts above the thresholds falling under the scope of these Directives, including those awarded by contracting entities other than contracting authorities in the case of Directive 2014/25/EU.</w:t>
      </w:r>
      <w:r w:rsidR="467E4494" w:rsidRPr="00B3546A">
        <w:t xml:space="preserve"> It</w:t>
      </w:r>
      <w:r w:rsidR="467E4494" w:rsidRPr="00763393">
        <w:t xml:space="preserve"> is the entire public procurement value that will be </w:t>
      </w:r>
      <w:proofErr w:type="gramStart"/>
      <w:r w:rsidR="467E4494" w:rsidRPr="00763393">
        <w:t>taken into account</w:t>
      </w:r>
      <w:proofErr w:type="gramEnd"/>
      <w:r w:rsidR="467E4494" w:rsidRPr="00763393">
        <w:t xml:space="preserve"> irrespective of the lots that a procurement may be divided in.</w:t>
      </w:r>
      <w:r w:rsidR="0041201E" w:rsidRPr="0041201E">
        <w:rPr>
          <w:vertAlign w:val="superscript"/>
        </w:rPr>
        <w:footnoteReference w:id="12"/>
      </w:r>
    </w:p>
    <w:p w14:paraId="6634DFB1" w14:textId="24E6E0B4" w:rsidR="00E6337E" w:rsidRDefault="000A53D0" w:rsidP="00853398">
      <w:pPr>
        <w:ind w:left="851"/>
      </w:pPr>
      <w:r>
        <w:rPr>
          <w:b/>
          <w:bCs/>
          <w:iCs/>
          <w:noProof/>
          <w:color w:val="4472C4" w:themeColor="accent1"/>
          <w:shd w:val="clear" w:color="auto" w:fill="E6E6E6"/>
        </w:rPr>
        <w:drawing>
          <wp:anchor distT="0" distB="0" distL="114300" distR="114300" simplePos="0" relativeHeight="251615744" behindDoc="0" locked="0" layoutInCell="1" allowOverlap="1" wp14:anchorId="0686FB94" wp14:editId="26F75FB6">
            <wp:simplePos x="0" y="0"/>
            <wp:positionH relativeFrom="margin">
              <wp:align>left</wp:align>
            </wp:positionH>
            <wp:positionV relativeFrom="paragraph">
              <wp:posOffset>7083</wp:posOffset>
            </wp:positionV>
            <wp:extent cx="400685" cy="400685"/>
            <wp:effectExtent l="0" t="0" r="0"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0685" cy="400685"/>
                    </a:xfrm>
                    <a:prstGeom prst="rect">
                      <a:avLst/>
                    </a:prstGeom>
                    <a:noFill/>
                  </pic:spPr>
                </pic:pic>
              </a:graphicData>
            </a:graphic>
            <wp14:sizeRelH relativeFrom="margin">
              <wp14:pctWidth>0</wp14:pctWidth>
            </wp14:sizeRelH>
            <wp14:sizeRelV relativeFrom="margin">
              <wp14:pctHeight>0</wp14:pctHeight>
            </wp14:sizeRelV>
          </wp:anchor>
        </w:drawing>
      </w:r>
      <w:r w:rsidR="00763393" w:rsidRPr="00763393">
        <w:t xml:space="preserve">As regards the </w:t>
      </w:r>
      <w:r w:rsidR="00763393" w:rsidRPr="000A53D0">
        <w:rPr>
          <w:b/>
          <w:bCs/>
          <w:color w:val="4472C4" w:themeColor="accent1"/>
        </w:rPr>
        <w:t>AMIF, the BMVI and the ISF</w:t>
      </w:r>
      <w:r w:rsidR="00763393" w:rsidRPr="00763393">
        <w:t xml:space="preserve"> specifically, any costs subject to public procurement (i.e.</w:t>
      </w:r>
      <w:r w:rsidR="00606BF9">
        <w:t>,</w:t>
      </w:r>
      <w:r w:rsidR="00763393" w:rsidRPr="00763393">
        <w:t xml:space="preserve"> the subcontracted/externalised costs) </w:t>
      </w:r>
      <w:proofErr w:type="gramStart"/>
      <w:r w:rsidR="00763393" w:rsidRPr="00763393">
        <w:t>have to</w:t>
      </w:r>
      <w:proofErr w:type="gramEnd"/>
      <w:r w:rsidR="00763393" w:rsidRPr="00763393">
        <w:t xml:space="preserve"> be excluded from the basis for the calculation of the flat rate, see</w:t>
      </w:r>
      <w:r w:rsidR="0041201E">
        <w:t xml:space="preserve"> </w:t>
      </w:r>
      <w:r w:rsidR="00763393" w:rsidRPr="00763393">
        <w:t>second sub-paragraph of Article 55(1) CPR.</w:t>
      </w:r>
    </w:p>
    <w:p w14:paraId="35767722" w14:textId="5BAB89D9" w:rsidR="0041201E" w:rsidRPr="0041201E" w:rsidRDefault="0041201E" w:rsidP="00B32403">
      <w:r w:rsidRPr="0041201E">
        <w:t xml:space="preserve">Direct staff costs determined </w:t>
      </w:r>
      <w:proofErr w:type="gramStart"/>
      <w:r w:rsidRPr="0041201E">
        <w:t>on the basis of</w:t>
      </w:r>
      <w:proofErr w:type="gramEnd"/>
      <w:r w:rsidRPr="0041201E">
        <w:t xml:space="preserve"> a flat rate may form the basis to apply a flat rate under Article 54</w:t>
      </w:r>
      <w:r w:rsidR="00381565">
        <w:t>(b)</w:t>
      </w:r>
      <w:r w:rsidRPr="0041201E">
        <w:t xml:space="preserve"> CPR (a flat rate of up to 15% of eligible direct staff costs to calculate indirect costs). However, direct staff costs calculated </w:t>
      </w:r>
      <w:proofErr w:type="gramStart"/>
      <w:r w:rsidRPr="0041201E">
        <w:t>on the basis of</w:t>
      </w:r>
      <w:proofErr w:type="gramEnd"/>
      <w:r w:rsidRPr="0041201E">
        <w:t xml:space="preserve"> a flat rate cannot serve as a basis for the flat rate under Article 56(1) CPR (a flat rate of up to 40% of eligible direct staff costs to calculate the remaining eligible costs of the operation), see Article 56(3) CPR.</w:t>
      </w:r>
    </w:p>
    <w:p w14:paraId="703093EB" w14:textId="2821FE80" w:rsidR="00250C36" w:rsidRPr="00381565" w:rsidRDefault="000A53D0" w:rsidP="00B32403">
      <w:r w:rsidRPr="000A53D0">
        <w:t xml:space="preserve">For Interreg programmes, staff costs can be reimbursed based on a flat rate of up to 20% of eligible direct costs, without any restriction on </w:t>
      </w:r>
      <w:r w:rsidRPr="00B3546A">
        <w:rPr>
          <w:b/>
          <w:bCs/>
          <w:color w:val="4472C4" w:themeColor="accent1"/>
        </w:rPr>
        <w:t>whether direct costs include public procurement or not</w:t>
      </w:r>
      <w:r w:rsidRPr="000A53D0">
        <w:t>, according to Article 39(3)</w:t>
      </w:r>
      <w:r>
        <w:t xml:space="preserve">(c) </w:t>
      </w:r>
      <w:r w:rsidRPr="000A53D0">
        <w:t>Interreg Regulation.</w:t>
      </w:r>
    </w:p>
    <w:p w14:paraId="069CB305" w14:textId="0DA53B1A" w:rsidR="00EB435C" w:rsidRDefault="00641ADF" w:rsidP="00F0451F">
      <w:pPr>
        <w:pStyle w:val="Heading3"/>
        <w:ind w:left="720" w:hanging="720"/>
        <w:jc w:val="both"/>
      </w:pPr>
      <w:bookmarkStart w:id="15" w:name="_Toc168350297"/>
      <w:r w:rsidRPr="002113B2">
        <w:rPr>
          <w:color w:val="4472C4" w:themeColor="accent1"/>
        </w:rPr>
        <w:t xml:space="preserve">2.2.4. </w:t>
      </w:r>
      <w:r w:rsidR="00736D3A">
        <w:rPr>
          <w:color w:val="4472C4" w:themeColor="accent1"/>
        </w:rPr>
        <w:tab/>
      </w:r>
      <w:r w:rsidR="00EB435C" w:rsidRPr="002113B2">
        <w:rPr>
          <w:color w:val="4472C4" w:themeColor="accent1"/>
        </w:rPr>
        <w:t xml:space="preserve">Flat rate for determining all other costs of the operation other than direct staff </w:t>
      </w:r>
      <w:r w:rsidR="00EB435C" w:rsidRPr="00BB18D0">
        <w:rPr>
          <w:color w:val="4472C4" w:themeColor="accent1"/>
        </w:rPr>
        <w:t>costs</w:t>
      </w:r>
      <w:r w:rsidR="00EA2F1E" w:rsidRPr="00BB18D0">
        <w:rPr>
          <w:color w:val="4472C4" w:themeColor="accent1"/>
        </w:rPr>
        <w:t xml:space="preserve"> (Article 56 CPR)</w:t>
      </w:r>
      <w:bookmarkEnd w:id="15"/>
    </w:p>
    <w:p w14:paraId="4B99CC3F" w14:textId="77777777" w:rsidR="00D332A8" w:rsidRDefault="00B3546A" w:rsidP="00D332A8">
      <w:r w:rsidRPr="00B3546A">
        <w:t xml:space="preserve">Article 56(1) CPR allows that direct staff costs may be used to calculate all the other remaining eligible costs of the operation, </w:t>
      </w:r>
      <w:proofErr w:type="gramStart"/>
      <w:r w:rsidRPr="00B3546A">
        <w:t>on the basis of</w:t>
      </w:r>
      <w:proofErr w:type="gramEnd"/>
      <w:r w:rsidRPr="00B3546A">
        <w:t xml:space="preserve"> a flat rate of </w:t>
      </w:r>
      <w:r w:rsidRPr="00041373">
        <w:rPr>
          <w:b/>
          <w:bCs/>
          <w:color w:val="4472C4" w:themeColor="accent1"/>
        </w:rPr>
        <w:t xml:space="preserve">up to 40% </w:t>
      </w:r>
      <w:r w:rsidRPr="003D168B">
        <w:rPr>
          <w:b/>
          <w:bCs/>
          <w:color w:val="4472C4" w:themeColor="accent1"/>
        </w:rPr>
        <w:t>of eligible direct staff costs</w:t>
      </w:r>
      <w:r w:rsidRPr="00B3546A">
        <w:t xml:space="preserve">. </w:t>
      </w:r>
      <w:r w:rsidR="00D332A8">
        <w:t xml:space="preserve">Thus, there will be only two categories of costs in the operation using this </w:t>
      </w:r>
      <w:proofErr w:type="gramStart"/>
      <w:r w:rsidR="00D332A8">
        <w:t>particular flat</w:t>
      </w:r>
      <w:proofErr w:type="gramEnd"/>
      <w:r w:rsidR="00D332A8">
        <w:t xml:space="preserve"> rate: </w:t>
      </w:r>
    </w:p>
    <w:p w14:paraId="663D7376" w14:textId="77777777" w:rsidR="00D332A8" w:rsidRDefault="00D332A8" w:rsidP="00D332A8">
      <w:pPr>
        <w:pStyle w:val="ListParagraph"/>
        <w:numPr>
          <w:ilvl w:val="0"/>
          <w:numId w:val="98"/>
        </w:numPr>
      </w:pPr>
      <w:r>
        <w:t xml:space="preserve">Direct staff costs – basis costs for the flat </w:t>
      </w:r>
      <w:proofErr w:type="gramStart"/>
      <w:r>
        <w:t>rate;</w:t>
      </w:r>
      <w:proofErr w:type="gramEnd"/>
    </w:p>
    <w:p w14:paraId="5E836941" w14:textId="581FE865" w:rsidR="00D332A8" w:rsidRDefault="77D717D0" w:rsidP="00D332A8">
      <w:pPr>
        <w:pStyle w:val="ListParagraph"/>
        <w:numPr>
          <w:ilvl w:val="0"/>
          <w:numId w:val="98"/>
        </w:numPr>
      </w:pPr>
      <w:r>
        <w:t xml:space="preserve">And a flat rate of up to 40% covering the remaining costs of the </w:t>
      </w:r>
      <w:r w:rsidR="1764CB6A">
        <w:t>operation</w:t>
      </w:r>
      <w:r>
        <w:t>.</w:t>
      </w:r>
    </w:p>
    <w:p w14:paraId="2203FF2A" w14:textId="54114AA1" w:rsidR="00B3546A" w:rsidRPr="00B3546A" w:rsidRDefault="00D332A8" w:rsidP="643B0604">
      <w:pPr>
        <w:ind w:left="851"/>
      </w:pPr>
      <w:r>
        <w:rPr>
          <w:rFonts w:eastAsiaTheme="majorEastAsia" w:cstheme="minorHAnsi"/>
          <w:b/>
          <w:bCs/>
          <w:noProof/>
          <w:color w:val="2F5496" w:themeColor="accent1" w:themeShade="BF"/>
          <w:shd w:val="clear" w:color="auto" w:fill="E6E6E6"/>
        </w:rPr>
        <w:drawing>
          <wp:anchor distT="0" distB="0" distL="114300" distR="114300" simplePos="0" relativeHeight="251715072" behindDoc="0" locked="0" layoutInCell="1" allowOverlap="1" wp14:anchorId="57D9076D" wp14:editId="47FED61E">
            <wp:simplePos x="0" y="0"/>
            <wp:positionH relativeFrom="margin">
              <wp:align>left</wp:align>
            </wp:positionH>
            <wp:positionV relativeFrom="paragraph">
              <wp:posOffset>89701</wp:posOffset>
            </wp:positionV>
            <wp:extent cx="409575" cy="409575"/>
            <wp:effectExtent l="0" t="0" r="9525" b="9525"/>
            <wp:wrapSquare wrapText="bothSides"/>
            <wp:docPr id="36" name="Graphic 36" descr="Thumbs up sign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Thumbs up sign outline"/>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409575" cy="409575"/>
                    </a:xfrm>
                    <a:prstGeom prst="rect">
                      <a:avLst/>
                    </a:prstGeom>
                  </pic:spPr>
                </pic:pic>
              </a:graphicData>
            </a:graphic>
            <wp14:sizeRelH relativeFrom="margin">
              <wp14:pctWidth>0</wp14:pctWidth>
            </wp14:sizeRelH>
            <wp14:sizeRelV relativeFrom="margin">
              <wp14:pctHeight>0</wp14:pctHeight>
            </wp14:sizeRelV>
          </wp:anchor>
        </w:drawing>
      </w:r>
      <w:r w:rsidR="77D717D0">
        <w:t xml:space="preserve">The use of this flat rate is suitable in operations where the direct staff costs represent a significant share of the budget. Thus, labour-intensive, R&amp;D, small (scale) projects with many </w:t>
      </w:r>
      <w:r w:rsidR="77D717D0" w:rsidRPr="006A6465">
        <w:t xml:space="preserve">low-value </w:t>
      </w:r>
      <w:r w:rsidR="74BA4554" w:rsidRPr="006A6465">
        <w:t xml:space="preserve">and </w:t>
      </w:r>
      <w:r w:rsidR="77D717D0" w:rsidRPr="006A6465">
        <w:t xml:space="preserve">large </w:t>
      </w:r>
      <w:r w:rsidR="77D717D0" w:rsidRPr="006A6465">
        <w:lastRenderedPageBreak/>
        <w:t xml:space="preserve">volume costs </w:t>
      </w:r>
      <w:r w:rsidR="4ED8C7F4">
        <w:t>other</w:t>
      </w:r>
      <w:r w:rsidR="4ED8C7F4" w:rsidRPr="006A6465">
        <w:t xml:space="preserve"> </w:t>
      </w:r>
      <w:r w:rsidR="77D717D0">
        <w:t>than staff</w:t>
      </w:r>
      <w:r w:rsidR="2F5AA4EA">
        <w:t xml:space="preserve"> costs</w:t>
      </w:r>
      <w:r w:rsidR="77D717D0">
        <w:t>, small innovation projects, educational and vocational project, and soft activities projects are best suited for the use of the flat rate set out in Article 56(1) CPR.</w:t>
      </w:r>
    </w:p>
    <w:p w14:paraId="0E60B585" w14:textId="497C38DB" w:rsidR="00B3546A" w:rsidRPr="00B3546A" w:rsidRDefault="173614FA" w:rsidP="00B32403">
      <w:r>
        <w:t xml:space="preserve">The managing authority may apply this flat rate to types of </w:t>
      </w:r>
      <w:r>
        <w:t>operations that require the following categories of costs: direct staff costs</w:t>
      </w:r>
      <w:r w:rsidR="4241EB9B">
        <w:t xml:space="preserve"> and</w:t>
      </w:r>
      <w:r>
        <w:t xml:space="preserve"> other direct costs</w:t>
      </w:r>
      <w:r w:rsidR="4972BD8D">
        <w:t>, as well as</w:t>
      </w:r>
      <w:r w:rsidR="22FBAB85">
        <w:t>, if applicable,</w:t>
      </w:r>
      <w:r>
        <w:t xml:space="preserve"> indirect costs. It should check ex-ante if this condition is fulfilled for the respective type(s) of operation. </w:t>
      </w:r>
    </w:p>
    <w:p w14:paraId="3479FAA7" w14:textId="4CC414A4" w:rsidR="00381565" w:rsidRDefault="6400E101" w:rsidP="00B32403">
      <w:r>
        <w:t>If</w:t>
      </w:r>
      <w:r w:rsidR="4DAE468F">
        <w:t xml:space="preserve"> indirect costs </w:t>
      </w:r>
      <w:r w:rsidR="36F5A8D2">
        <w:t xml:space="preserve">exist, they </w:t>
      </w:r>
      <w:r w:rsidR="4DAE468F">
        <w:t xml:space="preserve">are included in ‘all other remaining eligible costs’, </w:t>
      </w:r>
      <w:r w:rsidR="12DF97FB">
        <w:t xml:space="preserve">and </w:t>
      </w:r>
      <w:r w:rsidR="4DAE468F">
        <w:t>the flat rate in Article 56(1) CPR may not be combined with a flat rate for indirect costs (e.g., the options in Article 54 CPR).</w:t>
      </w:r>
    </w:p>
    <w:p w14:paraId="18795234" w14:textId="5D9D69D6" w:rsidR="00DD0160" w:rsidRPr="00DD0160" w:rsidRDefault="00041373" w:rsidP="00B32403">
      <w:pPr>
        <w:rPr>
          <w:lang w:val="en-US"/>
        </w:rPr>
      </w:pPr>
      <w:r w:rsidRPr="7A56C7E6">
        <w:rPr>
          <w:lang w:val="en-US"/>
        </w:rPr>
        <w:t>In</w:t>
      </w:r>
      <w:r w:rsidR="00DD0160" w:rsidRPr="7A56C7E6">
        <w:rPr>
          <w:lang w:val="en-US"/>
        </w:rPr>
        <w:t xml:space="preserve"> accordance with Article 56(3) CPR, this flat rate of up to 40% cannot be used in an operation where the total direct staff costs of that operation are calculated </w:t>
      </w:r>
      <w:proofErr w:type="gramStart"/>
      <w:r w:rsidR="00DD0160" w:rsidRPr="7A56C7E6">
        <w:rPr>
          <w:lang w:val="en-US"/>
        </w:rPr>
        <w:t>on the basis of</w:t>
      </w:r>
      <w:proofErr w:type="gramEnd"/>
      <w:r w:rsidR="00DD0160" w:rsidRPr="7A56C7E6">
        <w:rPr>
          <w:lang w:val="en-US"/>
        </w:rPr>
        <w:t xml:space="preserve"> a flat rate (for example the flat rate under Article 55(1) CPR).</w:t>
      </w:r>
      <w:r w:rsidR="40DBAC1C" w:rsidRPr="7A56C7E6">
        <w:rPr>
          <w:lang w:val="en-US"/>
        </w:rPr>
        <w:t xml:space="preserve"> </w:t>
      </w:r>
    </w:p>
    <w:p w14:paraId="1C37DDC5" w14:textId="723BE24B" w:rsidR="00DD0160" w:rsidRDefault="00DD0160" w:rsidP="00B32403">
      <w:pPr>
        <w:rPr>
          <w:lang w:val="en-US"/>
        </w:rPr>
      </w:pPr>
      <w:r w:rsidRPr="643B0604">
        <w:rPr>
          <w:lang w:val="en-US"/>
        </w:rPr>
        <w:t xml:space="preserve">For the ERDF, the ESF+, the JTF, the AMIF, the ISF and the BMVI, salaries and allowances paid to participants are excluded from the costs covered by this flat rate. </w:t>
      </w:r>
      <w:r w:rsidR="00041373" w:rsidRPr="643B0604">
        <w:rPr>
          <w:lang w:val="en-US"/>
        </w:rPr>
        <w:t>Regarding the definition of allowances and salaries, please consult section 2.2.1.</w:t>
      </w:r>
      <w:r w:rsidRPr="643B0604">
        <w:rPr>
          <w:lang w:val="en-US"/>
        </w:rPr>
        <w:t xml:space="preserve"> </w:t>
      </w:r>
    </w:p>
    <w:tbl>
      <w:tblPr>
        <w:tblStyle w:val="GridTable4-Accent1"/>
        <w:tblW w:w="0" w:type="auto"/>
        <w:tblLook w:val="04A0" w:firstRow="1" w:lastRow="0" w:firstColumn="1" w:lastColumn="0" w:noHBand="0" w:noVBand="1"/>
      </w:tblPr>
      <w:tblGrid>
        <w:gridCol w:w="9016"/>
      </w:tblGrid>
      <w:tr w:rsidR="006419D4" w14:paraId="2E70A1BC" w14:textId="77777777" w:rsidTr="006419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C442CA0" w14:textId="72421EA8" w:rsidR="006419D4" w:rsidRPr="006419D4" w:rsidRDefault="006419D4" w:rsidP="00B32403">
            <w:pPr>
              <w:rPr>
                <w:lang w:val="en-US"/>
              </w:rPr>
            </w:pPr>
            <w:r w:rsidRPr="006419D4">
              <w:rPr>
                <w:lang w:val="en-US"/>
              </w:rPr>
              <w:t>Example</w:t>
            </w:r>
            <w:r>
              <w:rPr>
                <w:lang w:val="en-US"/>
              </w:rPr>
              <w:t xml:space="preserve"> 1</w:t>
            </w:r>
          </w:p>
        </w:tc>
      </w:tr>
      <w:tr w:rsidR="006419D4" w14:paraId="4A84FA45" w14:textId="77777777" w:rsidTr="006419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31F97833" w14:textId="350FE54F" w:rsidR="006419D4" w:rsidRPr="006419D4" w:rsidRDefault="006419D4" w:rsidP="00B32403">
            <w:pPr>
              <w:rPr>
                <w:b w:val="0"/>
                <w:bCs w:val="0"/>
                <w:lang w:val="en-US"/>
              </w:rPr>
            </w:pPr>
            <w:r w:rsidRPr="006419D4">
              <w:rPr>
                <w:b w:val="0"/>
                <w:bCs w:val="0"/>
                <w:lang w:val="en-US"/>
              </w:rPr>
              <w:t>A managing authority wishes to calculate all the remaining eligible costs of an operation by applying a flat rate to the eligible direct staff costs of the operation of EUR 150 000. In accordance with Article 56(1) CPR, the managing authority decides to apply a rate of 35%. This means that the total eligible costs of the operation will be EUR 150 000 + (EUR 150 000 x 0.35) = EUR 202 500.</w:t>
            </w:r>
          </w:p>
        </w:tc>
      </w:tr>
    </w:tbl>
    <w:p w14:paraId="69D0D58C" w14:textId="77777777" w:rsidR="006419D4" w:rsidRDefault="006419D4" w:rsidP="00B32403">
      <w:pPr>
        <w:rPr>
          <w:lang w:val="en-US"/>
        </w:rPr>
      </w:pPr>
    </w:p>
    <w:tbl>
      <w:tblPr>
        <w:tblStyle w:val="GridTable4-Accent1"/>
        <w:tblW w:w="0" w:type="auto"/>
        <w:tblLook w:val="04A0" w:firstRow="1" w:lastRow="0" w:firstColumn="1" w:lastColumn="0" w:noHBand="0" w:noVBand="1"/>
      </w:tblPr>
      <w:tblGrid>
        <w:gridCol w:w="9016"/>
      </w:tblGrid>
      <w:tr w:rsidR="006419D4" w14:paraId="7E5D1825" w14:textId="77777777" w:rsidTr="4AF773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71344C39" w14:textId="4CB0B058" w:rsidR="006419D4" w:rsidRDefault="006419D4" w:rsidP="00B32403">
            <w:pPr>
              <w:rPr>
                <w:lang w:val="en-US"/>
              </w:rPr>
            </w:pPr>
            <w:r>
              <w:rPr>
                <w:lang w:val="en-US"/>
              </w:rPr>
              <w:t>Example 2</w:t>
            </w:r>
          </w:p>
        </w:tc>
      </w:tr>
      <w:tr w:rsidR="006419D4" w14:paraId="0B5F622D" w14:textId="77777777" w:rsidTr="4AF773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39CFA226" w14:textId="77777777" w:rsidR="006419D4" w:rsidRPr="006419D4" w:rsidRDefault="006419D4" w:rsidP="006419D4">
            <w:pPr>
              <w:rPr>
                <w:b w:val="0"/>
                <w:bCs w:val="0"/>
              </w:rPr>
            </w:pPr>
            <w:r w:rsidRPr="006419D4">
              <w:rPr>
                <w:b w:val="0"/>
                <w:bCs w:val="0"/>
              </w:rPr>
              <w:t>The estimated costs of a training course are:</w:t>
            </w:r>
          </w:p>
          <w:tbl>
            <w:tblPr>
              <w:tblStyle w:val="TableGrid"/>
              <w:tblW w:w="0" w:type="auto"/>
              <w:tblLook w:val="04A0" w:firstRow="1" w:lastRow="0" w:firstColumn="1" w:lastColumn="0" w:noHBand="0" w:noVBand="1"/>
            </w:tblPr>
            <w:tblGrid>
              <w:gridCol w:w="2689"/>
              <w:gridCol w:w="1134"/>
              <w:gridCol w:w="425"/>
              <w:gridCol w:w="2410"/>
              <w:gridCol w:w="1134"/>
            </w:tblGrid>
            <w:tr w:rsidR="006419D4" w:rsidRPr="006419D4" w14:paraId="603D881D" w14:textId="77777777" w:rsidTr="4AF773E3">
              <w:tc>
                <w:tcPr>
                  <w:tcW w:w="2689" w:type="dxa"/>
                </w:tcPr>
                <w:p w14:paraId="6D8C63EB" w14:textId="77777777" w:rsidR="006419D4" w:rsidRPr="00ED591F" w:rsidRDefault="006419D4" w:rsidP="006419D4">
                  <w:pPr>
                    <w:rPr>
                      <w:b/>
                    </w:rPr>
                  </w:pPr>
                  <w:r w:rsidRPr="004844BA">
                    <w:rPr>
                      <w:b/>
                      <w:bCs/>
                      <w:color w:val="4472C4" w:themeColor="accent1"/>
                    </w:rPr>
                    <w:t>Total Direct costs</w:t>
                  </w:r>
                </w:p>
              </w:tc>
              <w:tc>
                <w:tcPr>
                  <w:tcW w:w="1134" w:type="dxa"/>
                  <w:tcBorders>
                    <w:right w:val="single" w:sz="4" w:space="0" w:color="auto"/>
                  </w:tcBorders>
                </w:tcPr>
                <w:p w14:paraId="3DE21F97" w14:textId="15EB4A16" w:rsidR="006419D4" w:rsidRPr="00ED591F" w:rsidRDefault="484EC3E4" w:rsidP="4AF773E3">
                  <w:pPr>
                    <w:rPr>
                      <w:b/>
                      <w:bCs/>
                    </w:rPr>
                  </w:pPr>
                  <w:r w:rsidRPr="004844BA">
                    <w:rPr>
                      <w:b/>
                      <w:bCs/>
                      <w:color w:val="4472C4" w:themeColor="accent1"/>
                    </w:rPr>
                    <w:t>5</w:t>
                  </w:r>
                  <w:r w:rsidR="4FC4E629" w:rsidRPr="004844BA">
                    <w:rPr>
                      <w:b/>
                      <w:bCs/>
                      <w:color w:val="4472C4" w:themeColor="accent1"/>
                    </w:rPr>
                    <w:t>2</w:t>
                  </w:r>
                  <w:r w:rsidRPr="004844BA">
                    <w:rPr>
                      <w:b/>
                      <w:bCs/>
                      <w:color w:val="4472C4" w:themeColor="accent1"/>
                    </w:rPr>
                    <w:t xml:space="preserve"> 000 EUR</w:t>
                  </w:r>
                </w:p>
              </w:tc>
              <w:tc>
                <w:tcPr>
                  <w:tcW w:w="425" w:type="dxa"/>
                  <w:tcBorders>
                    <w:top w:val="nil"/>
                    <w:left w:val="single" w:sz="4" w:space="0" w:color="auto"/>
                    <w:bottom w:val="nil"/>
                    <w:right w:val="single" w:sz="4" w:space="0" w:color="auto"/>
                  </w:tcBorders>
                </w:tcPr>
                <w:p w14:paraId="26E2A904" w14:textId="77777777" w:rsidR="006419D4" w:rsidRPr="006419D4" w:rsidRDefault="006419D4" w:rsidP="006419D4"/>
              </w:tc>
              <w:tc>
                <w:tcPr>
                  <w:tcW w:w="2410" w:type="dxa"/>
                  <w:tcBorders>
                    <w:left w:val="single" w:sz="4" w:space="0" w:color="auto"/>
                  </w:tcBorders>
                </w:tcPr>
                <w:p w14:paraId="607ACB07" w14:textId="77777777" w:rsidR="006419D4" w:rsidRPr="00ED591F" w:rsidRDefault="006419D4" w:rsidP="006419D4">
                  <w:pPr>
                    <w:rPr>
                      <w:b/>
                    </w:rPr>
                  </w:pPr>
                  <w:r w:rsidRPr="004844BA">
                    <w:rPr>
                      <w:b/>
                      <w:bCs/>
                      <w:color w:val="4472C4" w:themeColor="accent1"/>
                    </w:rPr>
                    <w:t>Total indirect costs</w:t>
                  </w:r>
                </w:p>
              </w:tc>
              <w:tc>
                <w:tcPr>
                  <w:tcW w:w="1134" w:type="dxa"/>
                </w:tcPr>
                <w:p w14:paraId="61CBBDCF" w14:textId="77777777" w:rsidR="006419D4" w:rsidRPr="00ED591F" w:rsidRDefault="006419D4" w:rsidP="006419D4">
                  <w:pPr>
                    <w:rPr>
                      <w:b/>
                    </w:rPr>
                  </w:pPr>
                  <w:r w:rsidRPr="004844BA">
                    <w:rPr>
                      <w:b/>
                      <w:bCs/>
                      <w:color w:val="4472C4" w:themeColor="accent1"/>
                    </w:rPr>
                    <w:t>5 000 EUR</w:t>
                  </w:r>
                </w:p>
              </w:tc>
            </w:tr>
            <w:tr w:rsidR="006419D4" w:rsidRPr="006419D4" w14:paraId="1EEA9B45" w14:textId="77777777" w:rsidTr="4AF773E3">
              <w:tc>
                <w:tcPr>
                  <w:tcW w:w="2689" w:type="dxa"/>
                </w:tcPr>
                <w:p w14:paraId="339B992D" w14:textId="77777777" w:rsidR="006419D4" w:rsidRPr="006419D4" w:rsidRDefault="006419D4" w:rsidP="006419D4">
                  <w:r w:rsidRPr="006419D4">
                    <w:t>Direct Staff costs</w:t>
                  </w:r>
                </w:p>
              </w:tc>
              <w:tc>
                <w:tcPr>
                  <w:tcW w:w="1134" w:type="dxa"/>
                  <w:tcBorders>
                    <w:right w:val="single" w:sz="4" w:space="0" w:color="auto"/>
                  </w:tcBorders>
                </w:tcPr>
                <w:p w14:paraId="7350289D" w14:textId="77777777" w:rsidR="006419D4" w:rsidRPr="006419D4" w:rsidRDefault="006419D4" w:rsidP="006419D4">
                  <w:r w:rsidRPr="006419D4">
                    <w:t>30 000 EUR</w:t>
                  </w:r>
                </w:p>
              </w:tc>
              <w:tc>
                <w:tcPr>
                  <w:tcW w:w="425" w:type="dxa"/>
                  <w:tcBorders>
                    <w:top w:val="nil"/>
                    <w:left w:val="single" w:sz="4" w:space="0" w:color="auto"/>
                    <w:bottom w:val="nil"/>
                    <w:right w:val="single" w:sz="4" w:space="0" w:color="auto"/>
                  </w:tcBorders>
                </w:tcPr>
                <w:p w14:paraId="653303FF" w14:textId="77777777" w:rsidR="006419D4" w:rsidRPr="006419D4" w:rsidRDefault="006419D4" w:rsidP="006419D4"/>
              </w:tc>
              <w:tc>
                <w:tcPr>
                  <w:tcW w:w="2410" w:type="dxa"/>
                  <w:tcBorders>
                    <w:left w:val="single" w:sz="4" w:space="0" w:color="auto"/>
                  </w:tcBorders>
                </w:tcPr>
                <w:p w14:paraId="712D3C4E" w14:textId="77777777" w:rsidR="006419D4" w:rsidRPr="006419D4" w:rsidRDefault="006419D4" w:rsidP="006419D4">
                  <w:r w:rsidRPr="006419D4">
                    <w:t>Indirect staff costs</w:t>
                  </w:r>
                </w:p>
              </w:tc>
              <w:tc>
                <w:tcPr>
                  <w:tcW w:w="1134" w:type="dxa"/>
                </w:tcPr>
                <w:p w14:paraId="6F6F6109" w14:textId="77777777" w:rsidR="006419D4" w:rsidRPr="006419D4" w:rsidRDefault="006419D4" w:rsidP="006419D4">
                  <w:r w:rsidRPr="006419D4">
                    <w:t>4 000 EUR</w:t>
                  </w:r>
                </w:p>
              </w:tc>
            </w:tr>
            <w:tr w:rsidR="006419D4" w:rsidRPr="006419D4" w14:paraId="73823F0E" w14:textId="77777777" w:rsidTr="4AF773E3">
              <w:tc>
                <w:tcPr>
                  <w:tcW w:w="2689" w:type="dxa"/>
                </w:tcPr>
                <w:p w14:paraId="2953696E" w14:textId="77777777" w:rsidR="006419D4" w:rsidRPr="006419D4" w:rsidRDefault="006419D4" w:rsidP="006419D4">
                  <w:r w:rsidRPr="006419D4">
                    <w:t>Room costs</w:t>
                  </w:r>
                </w:p>
              </w:tc>
              <w:tc>
                <w:tcPr>
                  <w:tcW w:w="1134" w:type="dxa"/>
                  <w:tcBorders>
                    <w:right w:val="single" w:sz="4" w:space="0" w:color="auto"/>
                  </w:tcBorders>
                </w:tcPr>
                <w:p w14:paraId="00005FC1" w14:textId="7D1CD0FE" w:rsidR="006419D4" w:rsidRPr="006419D4" w:rsidRDefault="18C27F2C" w:rsidP="006419D4">
                  <w:r>
                    <w:t>3</w:t>
                  </w:r>
                  <w:r w:rsidR="484EC3E4">
                    <w:t xml:space="preserve"> 000 EU</w:t>
                  </w:r>
                  <w:r w:rsidR="411B110B">
                    <w:t>R</w:t>
                  </w:r>
                </w:p>
              </w:tc>
              <w:tc>
                <w:tcPr>
                  <w:tcW w:w="425" w:type="dxa"/>
                  <w:tcBorders>
                    <w:top w:val="nil"/>
                    <w:left w:val="single" w:sz="4" w:space="0" w:color="auto"/>
                    <w:bottom w:val="nil"/>
                    <w:right w:val="single" w:sz="4" w:space="0" w:color="auto"/>
                  </w:tcBorders>
                </w:tcPr>
                <w:p w14:paraId="29662AD5" w14:textId="77777777" w:rsidR="006419D4" w:rsidRPr="006419D4" w:rsidRDefault="006419D4" w:rsidP="006419D4"/>
              </w:tc>
              <w:tc>
                <w:tcPr>
                  <w:tcW w:w="2410" w:type="dxa"/>
                  <w:tcBorders>
                    <w:left w:val="single" w:sz="4" w:space="0" w:color="auto"/>
                    <w:bottom w:val="single" w:sz="4" w:space="0" w:color="auto"/>
                  </w:tcBorders>
                </w:tcPr>
                <w:p w14:paraId="4F85FE4D" w14:textId="77777777" w:rsidR="006419D4" w:rsidRPr="006419D4" w:rsidRDefault="006419D4" w:rsidP="006419D4">
                  <w:r w:rsidRPr="006419D4">
                    <w:t>Electricity, phone.</w:t>
                  </w:r>
                </w:p>
              </w:tc>
              <w:tc>
                <w:tcPr>
                  <w:tcW w:w="1134" w:type="dxa"/>
                  <w:tcBorders>
                    <w:bottom w:val="single" w:sz="4" w:space="0" w:color="auto"/>
                  </w:tcBorders>
                </w:tcPr>
                <w:p w14:paraId="6279BE31" w14:textId="77777777" w:rsidR="006419D4" w:rsidRPr="006419D4" w:rsidRDefault="006419D4" w:rsidP="006419D4">
                  <w:r w:rsidRPr="006419D4">
                    <w:t>1 000 EUR</w:t>
                  </w:r>
                </w:p>
              </w:tc>
            </w:tr>
            <w:tr w:rsidR="006419D4" w:rsidRPr="006419D4" w14:paraId="789ADE11" w14:textId="77777777" w:rsidTr="4AF773E3">
              <w:tc>
                <w:tcPr>
                  <w:tcW w:w="2689" w:type="dxa"/>
                </w:tcPr>
                <w:p w14:paraId="66B9F372" w14:textId="77777777" w:rsidR="006419D4" w:rsidRPr="006419D4" w:rsidRDefault="006419D4" w:rsidP="006419D4">
                  <w:r w:rsidRPr="006419D4">
                    <w:t>Travel costs</w:t>
                  </w:r>
                </w:p>
              </w:tc>
              <w:tc>
                <w:tcPr>
                  <w:tcW w:w="1134" w:type="dxa"/>
                  <w:tcBorders>
                    <w:right w:val="single" w:sz="4" w:space="0" w:color="auto"/>
                  </w:tcBorders>
                </w:tcPr>
                <w:p w14:paraId="06BD43E5" w14:textId="3AFAE1A7" w:rsidR="006419D4" w:rsidRPr="006419D4" w:rsidRDefault="2AF77738" w:rsidP="006419D4">
                  <w:r>
                    <w:t>4</w:t>
                  </w:r>
                  <w:r w:rsidR="484EC3E4">
                    <w:t xml:space="preserve"> 000 EUR</w:t>
                  </w:r>
                </w:p>
              </w:tc>
              <w:tc>
                <w:tcPr>
                  <w:tcW w:w="425" w:type="dxa"/>
                  <w:tcBorders>
                    <w:top w:val="nil"/>
                    <w:left w:val="single" w:sz="4" w:space="0" w:color="auto"/>
                    <w:bottom w:val="nil"/>
                    <w:right w:val="nil"/>
                  </w:tcBorders>
                </w:tcPr>
                <w:p w14:paraId="25E255C0" w14:textId="77777777" w:rsidR="006419D4" w:rsidRPr="006419D4" w:rsidRDefault="006419D4" w:rsidP="006419D4"/>
              </w:tc>
              <w:tc>
                <w:tcPr>
                  <w:tcW w:w="2410" w:type="dxa"/>
                  <w:tcBorders>
                    <w:left w:val="nil"/>
                    <w:bottom w:val="nil"/>
                    <w:right w:val="nil"/>
                  </w:tcBorders>
                </w:tcPr>
                <w:p w14:paraId="77006B02" w14:textId="77777777" w:rsidR="006419D4" w:rsidRPr="006419D4" w:rsidRDefault="006419D4" w:rsidP="006419D4"/>
              </w:tc>
              <w:tc>
                <w:tcPr>
                  <w:tcW w:w="1134" w:type="dxa"/>
                  <w:tcBorders>
                    <w:left w:val="nil"/>
                    <w:bottom w:val="nil"/>
                    <w:right w:val="nil"/>
                  </w:tcBorders>
                </w:tcPr>
                <w:p w14:paraId="661617C5" w14:textId="77777777" w:rsidR="006419D4" w:rsidRPr="006419D4" w:rsidRDefault="006419D4" w:rsidP="006419D4"/>
              </w:tc>
            </w:tr>
            <w:tr w:rsidR="006419D4" w:rsidRPr="006419D4" w14:paraId="4A42B4A9" w14:textId="77777777" w:rsidTr="4AF773E3">
              <w:tc>
                <w:tcPr>
                  <w:tcW w:w="2689" w:type="dxa"/>
                </w:tcPr>
                <w:p w14:paraId="68463BE4" w14:textId="77777777" w:rsidR="006419D4" w:rsidRPr="006419D4" w:rsidRDefault="006419D4" w:rsidP="006419D4">
                  <w:r w:rsidRPr="006419D4">
                    <w:t>Meals</w:t>
                  </w:r>
                </w:p>
              </w:tc>
              <w:tc>
                <w:tcPr>
                  <w:tcW w:w="1134" w:type="dxa"/>
                  <w:tcBorders>
                    <w:right w:val="single" w:sz="4" w:space="0" w:color="auto"/>
                  </w:tcBorders>
                </w:tcPr>
                <w:p w14:paraId="697494A2" w14:textId="77777777" w:rsidR="006419D4" w:rsidRPr="006419D4" w:rsidRDefault="006419D4" w:rsidP="006419D4">
                  <w:r w:rsidRPr="006419D4">
                    <w:t>1 000 EUR</w:t>
                  </w:r>
                </w:p>
              </w:tc>
              <w:tc>
                <w:tcPr>
                  <w:tcW w:w="425" w:type="dxa"/>
                  <w:tcBorders>
                    <w:top w:val="nil"/>
                    <w:left w:val="single" w:sz="4" w:space="0" w:color="auto"/>
                    <w:bottom w:val="nil"/>
                    <w:right w:val="nil"/>
                  </w:tcBorders>
                </w:tcPr>
                <w:p w14:paraId="3876FFE4" w14:textId="77777777" w:rsidR="006419D4" w:rsidRPr="006419D4" w:rsidRDefault="006419D4" w:rsidP="006419D4"/>
              </w:tc>
              <w:tc>
                <w:tcPr>
                  <w:tcW w:w="2410" w:type="dxa"/>
                  <w:tcBorders>
                    <w:top w:val="nil"/>
                    <w:left w:val="nil"/>
                    <w:bottom w:val="nil"/>
                    <w:right w:val="nil"/>
                  </w:tcBorders>
                </w:tcPr>
                <w:p w14:paraId="48439D07" w14:textId="77777777" w:rsidR="006419D4" w:rsidRPr="006419D4" w:rsidRDefault="006419D4" w:rsidP="006419D4"/>
              </w:tc>
              <w:tc>
                <w:tcPr>
                  <w:tcW w:w="1134" w:type="dxa"/>
                  <w:tcBorders>
                    <w:top w:val="nil"/>
                    <w:left w:val="nil"/>
                    <w:bottom w:val="nil"/>
                    <w:right w:val="nil"/>
                  </w:tcBorders>
                </w:tcPr>
                <w:p w14:paraId="64EBEF28" w14:textId="77777777" w:rsidR="006419D4" w:rsidRPr="006419D4" w:rsidRDefault="006419D4" w:rsidP="006419D4"/>
              </w:tc>
            </w:tr>
            <w:tr w:rsidR="006419D4" w:rsidRPr="006419D4" w14:paraId="638DC1C4" w14:textId="77777777" w:rsidTr="4AF773E3">
              <w:tc>
                <w:tcPr>
                  <w:tcW w:w="2689" w:type="dxa"/>
                </w:tcPr>
                <w:p w14:paraId="7C199D25" w14:textId="6583F612" w:rsidR="006419D4" w:rsidRPr="006419D4" w:rsidRDefault="1836A9BC" w:rsidP="006419D4">
                  <w:r>
                    <w:t>Information / Publicity</w:t>
                  </w:r>
                  <w:r w:rsidR="7CE4B68C">
                    <w:t xml:space="preserve"> </w:t>
                  </w:r>
                </w:p>
              </w:tc>
              <w:tc>
                <w:tcPr>
                  <w:tcW w:w="1134" w:type="dxa"/>
                  <w:tcBorders>
                    <w:right w:val="single" w:sz="4" w:space="0" w:color="auto"/>
                  </w:tcBorders>
                </w:tcPr>
                <w:p w14:paraId="7DAE87E7" w14:textId="44C5FE50" w:rsidR="006419D4" w:rsidRPr="006419D4" w:rsidRDefault="08FBCD07" w:rsidP="006419D4">
                  <w:r>
                    <w:t>4</w:t>
                  </w:r>
                  <w:r w:rsidR="484EC3E4">
                    <w:t xml:space="preserve"> 000 EUR</w:t>
                  </w:r>
                </w:p>
              </w:tc>
              <w:tc>
                <w:tcPr>
                  <w:tcW w:w="425" w:type="dxa"/>
                  <w:tcBorders>
                    <w:top w:val="nil"/>
                    <w:left w:val="single" w:sz="4" w:space="0" w:color="auto"/>
                    <w:bottom w:val="nil"/>
                    <w:right w:val="nil"/>
                  </w:tcBorders>
                </w:tcPr>
                <w:p w14:paraId="2BA0A5AD" w14:textId="77777777" w:rsidR="006419D4" w:rsidRPr="006419D4" w:rsidRDefault="006419D4" w:rsidP="006419D4"/>
              </w:tc>
              <w:tc>
                <w:tcPr>
                  <w:tcW w:w="2410" w:type="dxa"/>
                  <w:tcBorders>
                    <w:top w:val="nil"/>
                    <w:left w:val="nil"/>
                    <w:bottom w:val="nil"/>
                    <w:right w:val="nil"/>
                  </w:tcBorders>
                </w:tcPr>
                <w:p w14:paraId="4D00A1F5" w14:textId="77777777" w:rsidR="006419D4" w:rsidRPr="006419D4" w:rsidRDefault="006419D4" w:rsidP="006419D4"/>
              </w:tc>
              <w:tc>
                <w:tcPr>
                  <w:tcW w:w="1134" w:type="dxa"/>
                  <w:tcBorders>
                    <w:top w:val="nil"/>
                    <w:left w:val="nil"/>
                    <w:bottom w:val="nil"/>
                    <w:right w:val="nil"/>
                  </w:tcBorders>
                </w:tcPr>
                <w:p w14:paraId="2C52121E" w14:textId="77777777" w:rsidR="006419D4" w:rsidRPr="006419D4" w:rsidRDefault="006419D4" w:rsidP="006419D4"/>
              </w:tc>
            </w:tr>
            <w:tr w:rsidR="006419D4" w:rsidRPr="006419D4" w14:paraId="096E78BF" w14:textId="77777777" w:rsidTr="4AF773E3">
              <w:tc>
                <w:tcPr>
                  <w:tcW w:w="2689" w:type="dxa"/>
                </w:tcPr>
                <w:p w14:paraId="504F773C" w14:textId="77777777" w:rsidR="006419D4" w:rsidRPr="006419D4" w:rsidRDefault="006419D4" w:rsidP="006419D4">
                  <w:r w:rsidRPr="006419D4">
                    <w:t>Allowances paid to the trainees by the PES</w:t>
                  </w:r>
                </w:p>
              </w:tc>
              <w:tc>
                <w:tcPr>
                  <w:tcW w:w="1134" w:type="dxa"/>
                  <w:tcBorders>
                    <w:right w:val="single" w:sz="4" w:space="0" w:color="auto"/>
                  </w:tcBorders>
                </w:tcPr>
                <w:p w14:paraId="139E1C61" w14:textId="77777777" w:rsidR="006419D4" w:rsidRPr="006419D4" w:rsidRDefault="006419D4" w:rsidP="006419D4">
                  <w:r w:rsidRPr="006419D4">
                    <w:t>10 000 EUR</w:t>
                  </w:r>
                </w:p>
              </w:tc>
              <w:tc>
                <w:tcPr>
                  <w:tcW w:w="425" w:type="dxa"/>
                  <w:tcBorders>
                    <w:top w:val="nil"/>
                    <w:left w:val="single" w:sz="4" w:space="0" w:color="auto"/>
                    <w:bottom w:val="nil"/>
                    <w:right w:val="nil"/>
                  </w:tcBorders>
                </w:tcPr>
                <w:p w14:paraId="33B37813" w14:textId="77777777" w:rsidR="006419D4" w:rsidRPr="006419D4" w:rsidRDefault="006419D4" w:rsidP="006419D4"/>
              </w:tc>
              <w:tc>
                <w:tcPr>
                  <w:tcW w:w="2410" w:type="dxa"/>
                  <w:tcBorders>
                    <w:top w:val="nil"/>
                    <w:left w:val="nil"/>
                    <w:bottom w:val="nil"/>
                    <w:right w:val="nil"/>
                  </w:tcBorders>
                </w:tcPr>
                <w:p w14:paraId="07124BA5" w14:textId="77777777" w:rsidR="006419D4" w:rsidRPr="006419D4" w:rsidRDefault="006419D4" w:rsidP="006419D4"/>
              </w:tc>
              <w:tc>
                <w:tcPr>
                  <w:tcW w:w="1134" w:type="dxa"/>
                  <w:tcBorders>
                    <w:top w:val="nil"/>
                    <w:left w:val="nil"/>
                    <w:bottom w:val="nil"/>
                    <w:right w:val="nil"/>
                  </w:tcBorders>
                </w:tcPr>
                <w:p w14:paraId="63ECAB24" w14:textId="77777777" w:rsidR="006419D4" w:rsidRPr="006419D4" w:rsidRDefault="006419D4" w:rsidP="006419D4"/>
              </w:tc>
            </w:tr>
          </w:tbl>
          <w:p w14:paraId="189FDE3F" w14:textId="77777777" w:rsidR="006419D4" w:rsidRPr="006419D4" w:rsidRDefault="006419D4" w:rsidP="006419D4">
            <w:pPr>
              <w:rPr>
                <w:b w:val="0"/>
                <w:bCs w:val="0"/>
              </w:rPr>
            </w:pPr>
            <w:r w:rsidRPr="006419D4">
              <w:rPr>
                <w:b w:val="0"/>
                <w:bCs w:val="0"/>
              </w:rPr>
              <w:t>The managing authority can decide to apply Article 56(1) CPR to this project. In this case, the document setting out the conditions for support would have as a maximum allocation:</w:t>
            </w:r>
          </w:p>
          <w:p w14:paraId="481DD1DB" w14:textId="77777777" w:rsidR="006419D4" w:rsidRPr="006419D4" w:rsidRDefault="006419D4" w:rsidP="006419D4">
            <w:pPr>
              <w:rPr>
                <w:b w:val="0"/>
                <w:bCs w:val="0"/>
              </w:rPr>
            </w:pPr>
            <w:r w:rsidRPr="006419D4">
              <w:rPr>
                <w:b w:val="0"/>
                <w:bCs w:val="0"/>
              </w:rPr>
              <w:t xml:space="preserve">Direct staff costs: EUR 30 000 </w:t>
            </w:r>
          </w:p>
          <w:p w14:paraId="3B089686" w14:textId="77777777" w:rsidR="006419D4" w:rsidRPr="006419D4" w:rsidRDefault="006419D4" w:rsidP="006419D4">
            <w:pPr>
              <w:rPr>
                <w:b w:val="0"/>
                <w:bCs w:val="0"/>
              </w:rPr>
            </w:pPr>
            <w:r w:rsidRPr="006419D4">
              <w:rPr>
                <w:b w:val="0"/>
                <w:bCs w:val="0"/>
              </w:rPr>
              <w:t xml:space="preserve">Other costs: 30 000 x 40% = EUR 12 000 </w:t>
            </w:r>
          </w:p>
          <w:p w14:paraId="538375F5" w14:textId="77777777" w:rsidR="006419D4" w:rsidRPr="006419D4" w:rsidRDefault="006419D4" w:rsidP="006419D4">
            <w:pPr>
              <w:rPr>
                <w:b w:val="0"/>
                <w:bCs w:val="0"/>
              </w:rPr>
            </w:pPr>
            <w:r w:rsidRPr="006419D4">
              <w:rPr>
                <w:b w:val="0"/>
                <w:bCs w:val="0"/>
              </w:rPr>
              <w:t>As the allowances paid to the trainee by the Public Employment Services can be declared in addition to the direct staff costs and the flat rate, the total eligible costs would be:</w:t>
            </w:r>
          </w:p>
          <w:p w14:paraId="547443F1" w14:textId="7817CE6D" w:rsidR="006419D4" w:rsidRPr="006419D4" w:rsidRDefault="16C0744F" w:rsidP="006419D4">
            <w:pPr>
              <w:rPr>
                <w:b w:val="0"/>
                <w:bCs w:val="0"/>
                <w:lang w:val="en-US"/>
              </w:rPr>
            </w:pPr>
            <w:r>
              <w:rPr>
                <w:b w:val="0"/>
                <w:bCs w:val="0"/>
              </w:rPr>
              <w:t xml:space="preserve">Total </w:t>
            </w:r>
            <w:r w:rsidR="2501E0DF">
              <w:rPr>
                <w:b w:val="0"/>
                <w:bCs w:val="0"/>
              </w:rPr>
              <w:t xml:space="preserve">eligible </w:t>
            </w:r>
            <w:r>
              <w:rPr>
                <w:b w:val="0"/>
                <w:bCs w:val="0"/>
              </w:rPr>
              <w:t>costs: 30 000 + 12 000 + 10 000 = EUR 52 000</w:t>
            </w:r>
          </w:p>
        </w:tc>
      </w:tr>
    </w:tbl>
    <w:p w14:paraId="58BF039D" w14:textId="77777777" w:rsidR="00CD66AF" w:rsidRDefault="00CD66AF" w:rsidP="00042509">
      <w:pPr>
        <w:ind w:left="851"/>
      </w:pPr>
    </w:p>
    <w:p w14:paraId="5F0516D3" w14:textId="19793184" w:rsidR="00042509" w:rsidRDefault="00042509" w:rsidP="00042509">
      <w:pPr>
        <w:ind w:left="851"/>
      </w:pPr>
      <w:r>
        <w:rPr>
          <w:b/>
          <w:bCs/>
          <w:iCs/>
          <w:noProof/>
          <w:color w:val="4472C4" w:themeColor="accent1"/>
          <w:shd w:val="clear" w:color="auto" w:fill="E6E6E6"/>
        </w:rPr>
        <w:drawing>
          <wp:anchor distT="0" distB="0" distL="114300" distR="114300" simplePos="0" relativeHeight="251664896" behindDoc="0" locked="0" layoutInCell="1" allowOverlap="1" wp14:anchorId="27A80CF6" wp14:editId="5DA3E336">
            <wp:simplePos x="0" y="0"/>
            <wp:positionH relativeFrom="margin">
              <wp:align>left</wp:align>
            </wp:positionH>
            <wp:positionV relativeFrom="paragraph">
              <wp:posOffset>139700</wp:posOffset>
            </wp:positionV>
            <wp:extent cx="400685" cy="400685"/>
            <wp:effectExtent l="0" t="0" r="0" b="0"/>
            <wp:wrapSquare wrapText="bothSides"/>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0685" cy="400685"/>
                    </a:xfrm>
                    <a:prstGeom prst="rect">
                      <a:avLst/>
                    </a:prstGeom>
                    <a:noFill/>
                  </pic:spPr>
                </pic:pic>
              </a:graphicData>
            </a:graphic>
            <wp14:sizeRelH relativeFrom="margin">
              <wp14:pctWidth>0</wp14:pctWidth>
            </wp14:sizeRelH>
            <wp14:sizeRelV relativeFrom="margin">
              <wp14:pctHeight>0</wp14:pctHeight>
            </wp14:sizeRelV>
          </wp:anchor>
        </w:drawing>
      </w:r>
      <w:r w:rsidR="237D9D04">
        <w:t xml:space="preserve">During the implementation of operations using the flat rate from Article 56(1) CPR, </w:t>
      </w:r>
      <w:r w:rsidR="7ADAF1B2">
        <w:t xml:space="preserve">it </w:t>
      </w:r>
      <w:r w:rsidR="0CAB990C">
        <w:t>is important</w:t>
      </w:r>
      <w:r w:rsidR="237D9D04">
        <w:t xml:space="preserve"> to plan direct staff costs carefully from the start and to </w:t>
      </w:r>
      <w:proofErr w:type="gramStart"/>
      <w:r w:rsidR="237D9D04">
        <w:t>closely and continuously monitor spending</w:t>
      </w:r>
      <w:proofErr w:type="gramEnd"/>
      <w:r w:rsidR="237D9D04">
        <w:t xml:space="preserve"> in this cost category. Due to the nature of the 40% flat rate, any underspending of direct staff costs will automatically mean less money reimbursed for other costs.</w:t>
      </w:r>
    </w:p>
    <w:tbl>
      <w:tblPr>
        <w:tblStyle w:val="GridTable4-Accent1"/>
        <w:tblW w:w="0" w:type="auto"/>
        <w:tblLook w:val="04A0" w:firstRow="1" w:lastRow="0" w:firstColumn="1" w:lastColumn="0" w:noHBand="0" w:noVBand="1"/>
      </w:tblPr>
      <w:tblGrid>
        <w:gridCol w:w="9016"/>
      </w:tblGrid>
      <w:tr w:rsidR="00042509" w14:paraId="5C28335E" w14:textId="77777777" w:rsidTr="4AF773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614982B5" w14:textId="77777777" w:rsidR="00042509" w:rsidRDefault="00042509">
            <w:r>
              <w:t>Example</w:t>
            </w:r>
          </w:p>
        </w:tc>
      </w:tr>
      <w:tr w:rsidR="00042509" w14:paraId="0B11098D" w14:textId="77777777" w:rsidTr="4AF773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D478048" w14:textId="77777777" w:rsidR="00042509" w:rsidRPr="00192374" w:rsidRDefault="2F2D52C8">
            <w:pPr>
              <w:rPr>
                <w:b w:val="0"/>
                <w:bCs w:val="0"/>
              </w:rPr>
            </w:pPr>
            <w:r>
              <w:rPr>
                <w:b w:val="0"/>
                <w:bCs w:val="0"/>
              </w:rPr>
              <w:t>The original budget of the operation allocated EUR 350.000 to the category of direct staff costs and EUR 140.000 (40%*350.000 EUR) to the category of remaining costs. During the programme implementation, only EUR 230.000 of direct staff cost was reported. This means that only EUR 92.000 (40%*230.000 EUR) for the other remaining costs is reimbursed.</w:t>
            </w:r>
          </w:p>
        </w:tc>
      </w:tr>
    </w:tbl>
    <w:p w14:paraId="36A3D12D" w14:textId="77777777" w:rsidR="00CD66AF" w:rsidRDefault="00CD66AF" w:rsidP="007C7FD9">
      <w:pPr>
        <w:pStyle w:val="Heading3"/>
        <w:ind w:left="720" w:hanging="720"/>
        <w:rPr>
          <w:color w:val="4472C4" w:themeColor="accent1"/>
        </w:rPr>
      </w:pPr>
    </w:p>
    <w:p w14:paraId="40E0C3F3" w14:textId="6065A625" w:rsidR="00EB435C" w:rsidRPr="002113B2" w:rsidRDefault="007C7FD9" w:rsidP="007C7FD9">
      <w:pPr>
        <w:pStyle w:val="Heading3"/>
        <w:ind w:left="720" w:hanging="720"/>
        <w:rPr>
          <w:color w:val="4472C4" w:themeColor="accent1"/>
        </w:rPr>
      </w:pPr>
      <w:bookmarkStart w:id="16" w:name="_Toc168350298"/>
      <w:r w:rsidRPr="002113B2">
        <w:rPr>
          <w:color w:val="4472C4" w:themeColor="accent1"/>
        </w:rPr>
        <w:t xml:space="preserve">2.2.5. </w:t>
      </w:r>
      <w:r w:rsidR="00736D3A">
        <w:rPr>
          <w:color w:val="4472C4" w:themeColor="accent1"/>
        </w:rPr>
        <w:tab/>
      </w:r>
      <w:r w:rsidR="00EB435C" w:rsidRPr="002113B2">
        <w:rPr>
          <w:color w:val="4472C4" w:themeColor="accent1"/>
        </w:rPr>
        <w:t>Flat rate for travel and accommodation costs</w:t>
      </w:r>
      <w:r w:rsidR="00EA2F1E" w:rsidRPr="002113B2">
        <w:rPr>
          <w:color w:val="4472C4" w:themeColor="accent1"/>
        </w:rPr>
        <w:t xml:space="preserve"> (Article</w:t>
      </w:r>
      <w:r w:rsidR="00416EFE" w:rsidRPr="002113B2">
        <w:rPr>
          <w:color w:val="4472C4" w:themeColor="accent1"/>
        </w:rPr>
        <w:t xml:space="preserve"> 41(5) </w:t>
      </w:r>
      <w:r w:rsidR="00EA2F1E" w:rsidRPr="002113B2">
        <w:rPr>
          <w:color w:val="4472C4" w:themeColor="accent1"/>
        </w:rPr>
        <w:t>Interreg)</w:t>
      </w:r>
      <w:bookmarkEnd w:id="16"/>
    </w:p>
    <w:p w14:paraId="26D8DE57" w14:textId="113B6AB5" w:rsidR="00416EFE" w:rsidRPr="00416EFE" w:rsidRDefault="00416EFE" w:rsidP="00B32403">
      <w:r w:rsidRPr="00416EFE">
        <w:t xml:space="preserve">Article 41(5) Interreg Regulation provides for a flat rate </w:t>
      </w:r>
      <w:r w:rsidR="005C09DC" w:rsidRPr="00416EFE">
        <w:t xml:space="preserve">for travel and accommodation costs </w:t>
      </w:r>
      <w:r w:rsidRPr="00416EFE">
        <w:t xml:space="preserve">of </w:t>
      </w:r>
      <w:r w:rsidRPr="005C09DC">
        <w:rPr>
          <w:b/>
          <w:bCs/>
          <w:color w:val="4472C4" w:themeColor="accent1"/>
        </w:rPr>
        <w:t>up to 15% of the direct staff costs</w:t>
      </w:r>
      <w:r w:rsidRPr="00416EFE">
        <w:t>. This flat rate may be used directly in Interreg operations in line with Article 53(3)(e) CPR. For operations covered under other programmes than Interreg, the flat rate may be used for similar type of operations in accordance with Article 53(3)(c) CPR.</w:t>
      </w:r>
    </w:p>
    <w:p w14:paraId="26E1EB90" w14:textId="68D66AA6" w:rsidR="00041373" w:rsidRPr="00041373" w:rsidRDefault="00416EFE" w:rsidP="00B32403">
      <w:r w:rsidRPr="00416EFE">
        <w:t>The cost elements considered ‘travel and accommodation costs’ for Interreg programmes are set out in Article 41(1) Interreg Regulation.</w:t>
      </w:r>
    </w:p>
    <w:p w14:paraId="1D45EFEF" w14:textId="2C65DA73" w:rsidR="00EB435C" w:rsidRPr="002113B2" w:rsidRDefault="1AC1A115" w:rsidP="00D11A49">
      <w:pPr>
        <w:pStyle w:val="Heading3"/>
        <w:ind w:left="720" w:hanging="720"/>
        <w:rPr>
          <w:color w:val="4472C4" w:themeColor="accent1"/>
        </w:rPr>
      </w:pPr>
      <w:bookmarkStart w:id="17" w:name="_Toc168350299"/>
      <w:r w:rsidRPr="4AF773E3">
        <w:rPr>
          <w:color w:val="4472C4" w:themeColor="accent1"/>
        </w:rPr>
        <w:t>2.2.6.</w:t>
      </w:r>
      <w:r w:rsidR="0D03588C" w:rsidRPr="4AF773E3">
        <w:rPr>
          <w:color w:val="4472C4" w:themeColor="accent1"/>
        </w:rPr>
        <w:t xml:space="preserve"> </w:t>
      </w:r>
      <w:r w:rsidR="00AE0DBF">
        <w:rPr>
          <w:color w:val="4472C4" w:themeColor="accent1"/>
        </w:rPr>
        <w:tab/>
      </w:r>
      <w:r w:rsidR="27A4FB9C" w:rsidRPr="4AF773E3">
        <w:rPr>
          <w:color w:val="4472C4" w:themeColor="accent1"/>
        </w:rPr>
        <w:t>The specific case of flat rates for technical assistance</w:t>
      </w:r>
      <w:r w:rsidR="64B7177B" w:rsidRPr="4AF773E3">
        <w:rPr>
          <w:color w:val="4472C4" w:themeColor="accent1"/>
        </w:rPr>
        <w:t xml:space="preserve"> (</w:t>
      </w:r>
      <w:r w:rsidR="05D9A3E8" w:rsidRPr="4AF773E3">
        <w:rPr>
          <w:color w:val="4472C4" w:themeColor="accent1"/>
        </w:rPr>
        <w:t>A</w:t>
      </w:r>
      <w:r w:rsidR="64B7177B" w:rsidRPr="4AF773E3">
        <w:rPr>
          <w:color w:val="4472C4" w:themeColor="accent1"/>
        </w:rPr>
        <w:t xml:space="preserve">rticle </w:t>
      </w:r>
      <w:r w:rsidR="05D9A3E8" w:rsidRPr="4AF773E3">
        <w:rPr>
          <w:color w:val="4472C4" w:themeColor="accent1"/>
        </w:rPr>
        <w:t>36(5) CPR)</w:t>
      </w:r>
      <w:bookmarkEnd w:id="17"/>
    </w:p>
    <w:p w14:paraId="05FCDADA" w14:textId="0001793A" w:rsidR="000E497B" w:rsidRDefault="71E6CD0B" w:rsidP="000E497B">
      <w:r>
        <w:t xml:space="preserve">According to Article 36(3) CPR, the amount of the Union contribution for technical assistance is to be made either as reimbursement of </w:t>
      </w:r>
      <w:r w:rsidR="06595798">
        <w:t>support provided to beneficiaries in accordance with the applicable rules of the CPR (</w:t>
      </w:r>
      <w:r w:rsidR="06595798">
        <w:t xml:space="preserve">Article 51(b) CPR) </w:t>
      </w:r>
      <w:r>
        <w:t xml:space="preserve">or </w:t>
      </w:r>
      <w:r w:rsidR="1CC5D888">
        <w:t>as</w:t>
      </w:r>
      <w:r>
        <w:t xml:space="preserve"> a flat rate</w:t>
      </w:r>
      <w:r w:rsidR="48A54946">
        <w:t xml:space="preserve"> (Article 51(e) CPR</w:t>
      </w:r>
      <w:r w:rsidR="2477CFE2">
        <w:t>)</w:t>
      </w:r>
      <w:r w:rsidR="24EC698D">
        <w:t xml:space="preserve"> (</w:t>
      </w:r>
      <w:r w:rsidR="45FF52CD">
        <w:t>th</w:t>
      </w:r>
      <w:r w:rsidR="4A664F27">
        <w:t xml:space="preserve">e </w:t>
      </w:r>
      <w:r w:rsidR="0895E6C7">
        <w:t>use of the</w:t>
      </w:r>
      <w:r w:rsidR="4A664F27">
        <w:t xml:space="preserve"> flat rate</w:t>
      </w:r>
      <w:r w:rsidR="45FF52CD">
        <w:t xml:space="preserve"> is mandatory in certain situations - see</w:t>
      </w:r>
      <w:r w:rsidR="41D8E393">
        <w:t xml:space="preserve"> below in thi</w:t>
      </w:r>
      <w:r w:rsidR="4163A6CB">
        <w:t>s</w:t>
      </w:r>
      <w:r w:rsidR="41D8E393">
        <w:t xml:space="preserve"> section</w:t>
      </w:r>
      <w:r w:rsidR="51E824CF">
        <w:t>)</w:t>
      </w:r>
      <w:r>
        <w:t>.</w:t>
      </w:r>
      <w:r w:rsidR="025DBED6">
        <w:t xml:space="preserve"> </w:t>
      </w:r>
    </w:p>
    <w:p w14:paraId="08933196" w14:textId="6A1185EA" w:rsidR="00BB1A28" w:rsidRDefault="00BB1A28" w:rsidP="00B32403">
      <w:pPr>
        <w:pStyle w:val="Style3"/>
      </w:pPr>
      <w:r>
        <w:t>Scope</w:t>
      </w:r>
    </w:p>
    <w:p w14:paraId="55DC8608" w14:textId="7A4DC122" w:rsidR="00BB1A28" w:rsidRPr="00BB1A28" w:rsidRDefault="00BB1A28" w:rsidP="00B32403">
      <w:r w:rsidRPr="00BB1A28">
        <w:t xml:space="preserve">The choice to use the flat-rate financing is at the discretion of the Member State. In line with Article 36(3) </w:t>
      </w:r>
      <w:r w:rsidR="00054967">
        <w:t xml:space="preserve">second subparagraph </w:t>
      </w:r>
      <w:r w:rsidRPr="00BB1A28">
        <w:t xml:space="preserve">CPR, </w:t>
      </w:r>
      <w:r w:rsidR="00054967">
        <w:t xml:space="preserve">the </w:t>
      </w:r>
      <w:r w:rsidRPr="00BB1A28">
        <w:t xml:space="preserve">choice applies to all programmes in the Member State concerned for the entire programming period </w:t>
      </w:r>
      <w:r w:rsidRPr="00BB1A28">
        <w:t>and cannot be modified subsequently. Member States should notify the Commission about their choice of the form of Union contribution for technical assistance in the Partnership Agreement in accordance with Annex II CPR.</w:t>
      </w:r>
    </w:p>
    <w:p w14:paraId="080EB162" w14:textId="46198108" w:rsidR="00BB1A28" w:rsidRPr="00BB1A28" w:rsidRDefault="00BB1A28" w:rsidP="00B32403">
      <w:r w:rsidRPr="00BB1A28">
        <w:t>In line with Article 36(3)</w:t>
      </w:r>
      <w:r w:rsidR="00054967">
        <w:t xml:space="preserve"> third subparagraph</w:t>
      </w:r>
      <w:r w:rsidRPr="00BB1A28">
        <w:t xml:space="preserve"> CPR, for programmes supported by the AMIF, the ISF and the BMVI and for Interreg programmes</w:t>
      </w:r>
      <w:r w:rsidR="00A7681B">
        <w:t>,</w:t>
      </w:r>
      <w:r w:rsidRPr="00BB1A28">
        <w:t xml:space="preserve"> the Union contribution for technical assistance is made only in the form of a flat rate. </w:t>
      </w:r>
    </w:p>
    <w:p w14:paraId="36B7B33A" w14:textId="77777777" w:rsidR="00BB1A28" w:rsidRPr="00BB1A28" w:rsidRDefault="00BB1A28" w:rsidP="00B32403">
      <w:r w:rsidRPr="00BB1A28">
        <w:t xml:space="preserve">The rates of the flat rate for the Union contribution for technical assistance are laid down in Article 36(5) CPR for each Fund and in Article 27 Interreg Regulation for Interreg programmes. </w:t>
      </w:r>
    </w:p>
    <w:p w14:paraId="04547483" w14:textId="4EB1DAAB" w:rsidR="00BB1A28" w:rsidRPr="00BB1A28" w:rsidRDefault="1C4D1E3B" w:rsidP="00B32403">
      <w:r>
        <w:t>How the Member State uses the flat-rate payments for technical assistance is the responsibility of the Member State</w:t>
      </w:r>
      <w:r w:rsidR="7F942F0F">
        <w:t>;</w:t>
      </w:r>
      <w:r>
        <w:t xml:space="preserve"> there will be no check</w:t>
      </w:r>
      <w:r w:rsidR="0D8FDEF1">
        <w:t>s</w:t>
      </w:r>
      <w:r>
        <w:t xml:space="preserve"> of the underlying costs of the amounts reimbursed based on the flat rate at EU level.</w:t>
      </w:r>
    </w:p>
    <w:p w14:paraId="70B2101C" w14:textId="6543DC4B" w:rsidR="00BB1A28" w:rsidRDefault="4318D7D2" w:rsidP="004844BA">
      <w:pPr>
        <w:pStyle w:val="Style3"/>
        <w:rPr>
          <w:lang w:val="en-IE"/>
        </w:rPr>
      </w:pPr>
      <w:r w:rsidRPr="34B85490">
        <w:rPr>
          <w:lang w:val="en-IE"/>
        </w:rPr>
        <w:t xml:space="preserve">Payment applications </w:t>
      </w:r>
    </w:p>
    <w:p w14:paraId="0603B2D1" w14:textId="71AA0F0F" w:rsidR="00BC0ECB" w:rsidRDefault="3C5E4530" w:rsidP="34B85490">
      <w:r>
        <w:lastRenderedPageBreak/>
        <w:t xml:space="preserve">Where a Member State </w:t>
      </w:r>
      <w:r w:rsidR="42C6D9D2">
        <w:t xml:space="preserve">or an Interreg programme </w:t>
      </w:r>
      <w:r>
        <w:t>use</w:t>
      </w:r>
      <w:r w:rsidR="2F35D6E7">
        <w:t>s</w:t>
      </w:r>
      <w:r>
        <w:t xml:space="preserve"> the flat-rate financing for technical assistance</w:t>
      </w:r>
      <w:r w:rsidR="2BE04A80">
        <w:t>, the relev</w:t>
      </w:r>
      <w:r>
        <w:t xml:space="preserve">ant flat-rate percentage for the Fund concerned provided in Article 36(5)(b) CPR and in Article 27(3) Interreg Regulation will be applied automatically to </w:t>
      </w:r>
      <w:r w:rsidR="10843E9B">
        <w:t xml:space="preserve">the </w:t>
      </w:r>
      <w:r>
        <w:t xml:space="preserve">total amount of eligible expenditure or </w:t>
      </w:r>
      <w:r w:rsidR="10843E9B">
        <w:t xml:space="preserve">the </w:t>
      </w:r>
      <w:r>
        <w:t xml:space="preserve">total amount of public expenditure, as appropriate, included in each payment application submitted to the Commission. </w:t>
      </w:r>
      <w:r w:rsidR="10E4B17D">
        <w:t xml:space="preserve">The amount of the </w:t>
      </w:r>
      <w:r w:rsidR="1EB3D97A">
        <w:t xml:space="preserve">flat-rate </w:t>
      </w:r>
      <w:r w:rsidR="10E4B17D">
        <w:t>technical assistance in column D (column C for AMIF, BMVI and ISF) in table ‘Expenditure broken down by priority’ of Annex XXIII CPR is to be calculated automatically in SFC2021 based on the data provided in the payment application.</w:t>
      </w:r>
    </w:p>
    <w:p w14:paraId="56EFC295" w14:textId="7F898151" w:rsidR="00BC0ECB" w:rsidRPr="00BC0ECB" w:rsidRDefault="10E4B17D" w:rsidP="02A2E652">
      <w:r>
        <w:t xml:space="preserve"> The amount of the flat rate technical assistance is not to be reported in Appendix 2 of Annex XXII</w:t>
      </w:r>
      <w:r w:rsidR="29E54456">
        <w:t>I</w:t>
      </w:r>
      <w:r>
        <w:t xml:space="preserve"> CPR</w:t>
      </w:r>
      <w:r w:rsidR="362AFBFE">
        <w:t xml:space="preserve"> </w:t>
      </w:r>
      <w:r w:rsidR="10843E9B">
        <w:t>and, for</w:t>
      </w:r>
      <w:r>
        <w:t xml:space="preserve"> AMIF, BMVI and ISF programmes, in Appendix 3 of Annex XXIII CPR.</w:t>
      </w:r>
    </w:p>
    <w:p w14:paraId="6E54DB64" w14:textId="4BB0A57E" w:rsidR="009552AA" w:rsidRPr="00BF0D1A" w:rsidRDefault="668D5A70" w:rsidP="004844BA">
      <w:pPr>
        <w:pStyle w:val="Heading3"/>
        <w:rPr>
          <w:color w:val="4472C4" w:themeColor="accent1"/>
        </w:rPr>
      </w:pPr>
      <w:bookmarkStart w:id="18" w:name="_Toc168350300"/>
      <w:r w:rsidRPr="00BF0D1A">
        <w:rPr>
          <w:color w:val="4472C4" w:themeColor="accent1"/>
        </w:rPr>
        <w:t xml:space="preserve">2.2.7. </w:t>
      </w:r>
      <w:r w:rsidR="00AE0DBF" w:rsidRPr="00BF0D1A">
        <w:rPr>
          <w:color w:val="4472C4" w:themeColor="accent1"/>
        </w:rPr>
        <w:tab/>
      </w:r>
      <w:r w:rsidR="4901F728" w:rsidRPr="00BF0D1A">
        <w:rPr>
          <w:color w:val="4472C4" w:themeColor="accent1"/>
        </w:rPr>
        <w:t>Specificities of support for community-led local development</w:t>
      </w:r>
      <w:bookmarkEnd w:id="18"/>
    </w:p>
    <w:p w14:paraId="3C2A48E9" w14:textId="578F4164" w:rsidR="00683A58" w:rsidRDefault="00445A89" w:rsidP="00683A58">
      <w:r>
        <w:t>According to Article 34(1)</w:t>
      </w:r>
      <w:r w:rsidR="7938762D">
        <w:t>(c</w:t>
      </w:r>
      <w:r>
        <w:t xml:space="preserve">) CPR, support from funds for community-led local development (CLLD) covers the cost of the management, monitoring and evaluation of the strategy and its animation, including the facilitation of exchanges between stakeholders. According to Article 34(2) CPR, these costs are subject to a ceiling of 25% of the total public contribution to the strategy. </w:t>
      </w:r>
    </w:p>
    <w:p w14:paraId="6F121660" w14:textId="1111935B" w:rsidR="00445A89" w:rsidRPr="00683A58" w:rsidRDefault="00445A89" w:rsidP="00683A58">
      <w:r>
        <w:t xml:space="preserve">The following example should illustrate how it is possible to reimburse these costs </w:t>
      </w:r>
      <w:proofErr w:type="gramStart"/>
      <w:r>
        <w:t>on the basis of</w:t>
      </w:r>
      <w:proofErr w:type="gramEnd"/>
      <w:r>
        <w:t xml:space="preserve"> a flat rate applied to other implementation costs:</w:t>
      </w:r>
    </w:p>
    <w:tbl>
      <w:tblPr>
        <w:tblStyle w:val="GridTable4-Accent1"/>
        <w:tblW w:w="0" w:type="auto"/>
        <w:tblLook w:val="04A0" w:firstRow="1" w:lastRow="0" w:firstColumn="1" w:lastColumn="0" w:noHBand="0" w:noVBand="1"/>
      </w:tblPr>
      <w:tblGrid>
        <w:gridCol w:w="9016"/>
      </w:tblGrid>
      <w:tr w:rsidR="009552AA" w14:paraId="2FC72B9E" w14:textId="77777777" w:rsidTr="4AF773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40D468D9" w14:textId="0F42F8E4" w:rsidR="009552AA" w:rsidRDefault="009552AA" w:rsidP="009552AA">
            <w:r>
              <w:t>Example</w:t>
            </w:r>
          </w:p>
        </w:tc>
      </w:tr>
      <w:tr w:rsidR="009552AA" w14:paraId="053A32B5" w14:textId="77777777" w:rsidTr="4AF773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86D9B33" w14:textId="77777777" w:rsidR="009552AA" w:rsidRPr="009552AA" w:rsidRDefault="009552AA" w:rsidP="009552AA">
            <w:pPr>
              <w:rPr>
                <w:b w:val="0"/>
                <w:bCs w:val="0"/>
              </w:rPr>
            </w:pPr>
            <w:r w:rsidRPr="009552AA">
              <w:rPr>
                <w:b w:val="0"/>
                <w:bCs w:val="0"/>
              </w:rPr>
              <w:t xml:space="preserve">The managing authority has assessed, based on </w:t>
            </w:r>
            <w:proofErr w:type="gramStart"/>
            <w:r w:rsidRPr="009552AA">
              <w:rPr>
                <w:b w:val="0"/>
                <w:bCs w:val="0"/>
              </w:rPr>
              <w:t>past experience</w:t>
            </w:r>
            <w:proofErr w:type="gramEnd"/>
            <w:r w:rsidRPr="009552AA">
              <w:rPr>
                <w:b w:val="0"/>
                <w:bCs w:val="0"/>
              </w:rPr>
              <w:t xml:space="preserve">, the typical share of the running costs and animation of a given local action group (LAG) compared to the expenditure incurred for the implementation of local operations under the CLLD strategy, and the preparation and implementation of the LAG’s cooperation activities. Even though support from CPR Funds for running and animation costs cannot go above the ceiling of 25 % of the total public expenditure incurred within the CLLD strategy according to Article 34(2) CPR, experience shows that this percentage is </w:t>
            </w:r>
            <w:proofErr w:type="gramStart"/>
            <w:r w:rsidRPr="009552AA">
              <w:rPr>
                <w:b w:val="0"/>
                <w:bCs w:val="0"/>
              </w:rPr>
              <w:t>actually lower</w:t>
            </w:r>
            <w:proofErr w:type="gramEnd"/>
            <w:r w:rsidRPr="009552AA">
              <w:rPr>
                <w:b w:val="0"/>
                <w:bCs w:val="0"/>
              </w:rPr>
              <w:t xml:space="preserve"> in most cases.</w:t>
            </w:r>
          </w:p>
          <w:p w14:paraId="6FE7A880" w14:textId="5518CB07" w:rsidR="009552AA" w:rsidRPr="009552AA" w:rsidRDefault="009552AA" w:rsidP="009552AA">
            <w:pPr>
              <w:rPr>
                <w:b w:val="0"/>
                <w:bCs w:val="0"/>
              </w:rPr>
            </w:pPr>
            <w:r w:rsidRPr="009552AA">
              <w:rPr>
                <w:b w:val="0"/>
                <w:bCs w:val="0"/>
              </w:rPr>
              <w:t xml:space="preserve">The managing authority establishes a flat rate of 17% of the implementation costs (based on a fair, equitable and verifiable methodology in accordance with Article 53(1)(d) and 53(3)(a) CPR </w:t>
            </w:r>
            <w:r w:rsidR="00445A89">
              <w:rPr>
                <w:b w:val="0"/>
                <w:bCs w:val="0"/>
              </w:rPr>
              <w:t>(</w:t>
            </w:r>
            <w:r w:rsidRPr="009552AA">
              <w:rPr>
                <w:b w:val="0"/>
                <w:bCs w:val="0"/>
              </w:rPr>
              <w:t xml:space="preserve">but not Article 54(a) CPR as the </w:t>
            </w:r>
            <w:r w:rsidR="00445A89">
              <w:rPr>
                <w:b w:val="0"/>
                <w:bCs w:val="0"/>
              </w:rPr>
              <w:t xml:space="preserve">costs under Article 34(1)(c) CPR are </w:t>
            </w:r>
            <w:r w:rsidRPr="009552AA">
              <w:rPr>
                <w:b w:val="0"/>
                <w:bCs w:val="0"/>
              </w:rPr>
              <w:t>not only covering indirect costs) of the expenditure incurred for the implementation of operations under the CLLD strategy and the preparation and implementation of the LAG’s cooperation activities, to cover the following costs:</w:t>
            </w:r>
          </w:p>
          <w:p w14:paraId="25382073" w14:textId="522639EE" w:rsidR="009552AA" w:rsidRPr="009552AA" w:rsidRDefault="009552AA" w:rsidP="009552AA">
            <w:pPr>
              <w:numPr>
                <w:ilvl w:val="0"/>
                <w:numId w:val="97"/>
              </w:numPr>
              <w:rPr>
                <w:b w:val="0"/>
                <w:bCs w:val="0"/>
              </w:rPr>
            </w:pPr>
            <w:r w:rsidRPr="009552AA">
              <w:rPr>
                <w:b w:val="0"/>
                <w:bCs w:val="0"/>
              </w:rPr>
              <w:t>Running costs (costs linked to the management, monitoring and evaluation of the strategy, see Article 34(1)(c) CPR</w:t>
            </w:r>
            <w:proofErr w:type="gramStart"/>
            <w:r w:rsidRPr="009552AA">
              <w:rPr>
                <w:b w:val="0"/>
                <w:bCs w:val="0"/>
              </w:rPr>
              <w:t>);</w:t>
            </w:r>
            <w:proofErr w:type="gramEnd"/>
          </w:p>
          <w:p w14:paraId="7541AF9F" w14:textId="77777777" w:rsidR="009552AA" w:rsidRPr="009552AA" w:rsidRDefault="009552AA" w:rsidP="009552AA">
            <w:pPr>
              <w:numPr>
                <w:ilvl w:val="0"/>
                <w:numId w:val="97"/>
              </w:numPr>
              <w:rPr>
                <w:b w:val="0"/>
                <w:bCs w:val="0"/>
              </w:rPr>
            </w:pPr>
            <w:r w:rsidRPr="009552AA">
              <w:rPr>
                <w:b w:val="0"/>
                <w:bCs w:val="0"/>
              </w:rPr>
              <w:t>Costs linked to the animation of the CLLD strategy (</w:t>
            </w:r>
            <w:proofErr w:type="gramStart"/>
            <w:r w:rsidRPr="009552AA">
              <w:rPr>
                <w:b w:val="0"/>
                <w:bCs w:val="0"/>
              </w:rPr>
              <w:t>in order to</w:t>
            </w:r>
            <w:proofErr w:type="gramEnd"/>
            <w:r w:rsidRPr="009552AA">
              <w:rPr>
                <w:b w:val="0"/>
                <w:bCs w:val="0"/>
              </w:rPr>
              <w:t xml:space="preserve"> facilitate exchange between stakeholders to provide information and to promote the strategy and to support potential beneficiaries with a view to developing operations and preparing applications, see Article 34(1)(c) CPR).</w:t>
            </w:r>
          </w:p>
          <w:p w14:paraId="0A62B4D4" w14:textId="07ECDD6D" w:rsidR="009552AA" w:rsidRPr="009552AA" w:rsidRDefault="009552AA" w:rsidP="009552AA">
            <w:pPr>
              <w:rPr>
                <w:b w:val="0"/>
                <w:bCs w:val="0"/>
              </w:rPr>
            </w:pPr>
            <w:r w:rsidRPr="009552AA">
              <w:rPr>
                <w:b w:val="0"/>
                <w:bCs w:val="0"/>
              </w:rPr>
              <w:t>Therefore, if the budget allocated to the LAG for the implementation of operations under the CLLD strategy and the preparation and implementation of the LAG’s cooperation activities is EUR 1.5 million (type 1), the maximum budget corresponding to running and animation costs would be EUR 1.5 million x 17 % = EUR 255 000 (type 2). Consequently, the total budget allocation for the LAG is EUR 1.755 million.</w:t>
            </w:r>
          </w:p>
          <w:p w14:paraId="07BFE749" w14:textId="77777777" w:rsidR="009552AA" w:rsidRPr="009552AA" w:rsidRDefault="009552AA" w:rsidP="009552AA">
            <w:pPr>
              <w:rPr>
                <w:b w:val="0"/>
                <w:bCs w:val="0"/>
              </w:rPr>
            </w:pPr>
            <w:r w:rsidRPr="009552AA">
              <w:rPr>
                <w:b w:val="0"/>
                <w:bCs w:val="0"/>
              </w:rPr>
              <w:t>In the implementation phase, it means that whenever a beneficiary claims for reimbursement of the expenditure incurred on a project, the LAG will also be able to claim 17 % of that sum for its running and animation costs.</w:t>
            </w:r>
          </w:p>
          <w:p w14:paraId="68188CD2" w14:textId="77777777" w:rsidR="009552AA" w:rsidRPr="009552AA" w:rsidRDefault="009552AA" w:rsidP="009552AA">
            <w:pPr>
              <w:rPr>
                <w:b w:val="0"/>
                <w:bCs w:val="0"/>
              </w:rPr>
            </w:pPr>
            <w:r w:rsidRPr="009552AA">
              <w:rPr>
                <w:b w:val="0"/>
                <w:bCs w:val="0"/>
              </w:rPr>
              <w:t xml:space="preserve">For example, if the incurred expenditure of a project equals EUR 1 000 (type 1), the LAG can declare to the managing authority EUR 1 000 x 17 % = EUR 170 (type 2) for its running and animation costs. </w:t>
            </w:r>
          </w:p>
          <w:p w14:paraId="10DF4210" w14:textId="77777777" w:rsidR="009552AA" w:rsidRPr="009552AA" w:rsidRDefault="009552AA" w:rsidP="009552AA">
            <w:pPr>
              <w:rPr>
                <w:b w:val="0"/>
                <w:bCs w:val="0"/>
              </w:rPr>
            </w:pPr>
            <w:r w:rsidRPr="009552AA">
              <w:rPr>
                <w:b w:val="0"/>
                <w:bCs w:val="0"/>
              </w:rPr>
              <w:t xml:space="preserve">The LAG will not need to provide supporting documents for its running and animation costs declared </w:t>
            </w:r>
            <w:proofErr w:type="gramStart"/>
            <w:r w:rsidRPr="009552AA">
              <w:rPr>
                <w:b w:val="0"/>
                <w:bCs w:val="0"/>
              </w:rPr>
              <w:t>on the basis of</w:t>
            </w:r>
            <w:proofErr w:type="gramEnd"/>
            <w:r w:rsidRPr="009552AA">
              <w:rPr>
                <w:b w:val="0"/>
                <w:bCs w:val="0"/>
              </w:rPr>
              <w:t xml:space="preserve"> the flat rate, but the methodology for determining the 17 % has to be verifiable. </w:t>
            </w:r>
          </w:p>
          <w:p w14:paraId="7EE728B2" w14:textId="21AD5FCD" w:rsidR="009552AA" w:rsidRPr="009552AA" w:rsidRDefault="4901F728" w:rsidP="009552AA">
            <w:pPr>
              <w:rPr>
                <w:b w:val="0"/>
                <w:bCs w:val="0"/>
              </w:rPr>
            </w:pPr>
            <w:r>
              <w:rPr>
                <w:b w:val="0"/>
                <w:bCs w:val="0"/>
              </w:rPr>
              <w:lastRenderedPageBreak/>
              <w:t>It should be noted that the flat rate may be established separately for running or animation costs only.</w:t>
            </w:r>
          </w:p>
          <w:p w14:paraId="06E11DA0" w14:textId="0511402F" w:rsidR="009552AA" w:rsidRDefault="009552AA" w:rsidP="009552AA">
            <w:r w:rsidRPr="009552AA">
              <w:rPr>
                <w:b w:val="0"/>
                <w:bCs w:val="0"/>
              </w:rPr>
              <w:t xml:space="preserve">N.B. The methodology of establishing the flat rate does not necessarily have to follow the one applied for establishing the maximum ceiling of 25%. However, whatever methodology used to set the flat rate, the provisions on the maximum ceiling of running costs and animation provided in Article 34(2) CPR </w:t>
            </w:r>
            <w:proofErr w:type="gramStart"/>
            <w:r w:rsidRPr="009552AA">
              <w:rPr>
                <w:b w:val="0"/>
                <w:bCs w:val="0"/>
              </w:rPr>
              <w:t>have to</w:t>
            </w:r>
            <w:proofErr w:type="gramEnd"/>
            <w:r w:rsidRPr="009552AA">
              <w:rPr>
                <w:b w:val="0"/>
                <w:bCs w:val="0"/>
              </w:rPr>
              <w:t xml:space="preserve"> be respected.</w:t>
            </w:r>
          </w:p>
        </w:tc>
      </w:tr>
    </w:tbl>
    <w:p w14:paraId="62210489" w14:textId="42CAF527" w:rsidR="001470AB" w:rsidRPr="00355502" w:rsidRDefault="001470AB" w:rsidP="008163AE">
      <w:pPr>
        <w:pStyle w:val="Heading3"/>
      </w:pPr>
    </w:p>
    <w:p w14:paraId="27513085" w14:textId="5980A6C9" w:rsidR="00702787" w:rsidRPr="004E6DE3" w:rsidRDefault="7BADAD2B" w:rsidP="00B32403">
      <w:pPr>
        <w:pStyle w:val="Heading2"/>
        <w:numPr>
          <w:ilvl w:val="1"/>
          <w:numId w:val="10"/>
        </w:numPr>
        <w:rPr>
          <w:b/>
          <w:bCs/>
          <w:color w:val="4472C4" w:themeColor="accent1"/>
        </w:rPr>
      </w:pPr>
      <w:bookmarkStart w:id="19" w:name="_Toc168350301"/>
      <w:r w:rsidRPr="114B0701">
        <w:rPr>
          <w:b/>
          <w:bCs/>
          <w:color w:val="4472C4" w:themeColor="accent1"/>
        </w:rPr>
        <w:t>Standard scales of unit costs</w:t>
      </w:r>
      <w:bookmarkEnd w:id="19"/>
    </w:p>
    <w:p w14:paraId="2FD296AD" w14:textId="087E13D3" w:rsidR="005A778F" w:rsidRPr="00BB5F1E" w:rsidRDefault="622992B7" w:rsidP="005A778F">
      <w:pPr>
        <w:rPr>
          <w:lang w:val="en-IE"/>
        </w:rPr>
      </w:pPr>
      <w:bookmarkStart w:id="20" w:name="_Hlk164374220"/>
      <w:r>
        <w:t>Standard scale of unit costs can be used at both reimbursement levels, i.e., at upper</w:t>
      </w:r>
      <w:r w:rsidR="10FD8C71">
        <w:t xml:space="preserve"> </w:t>
      </w:r>
      <w:r w:rsidR="1CBF5A69">
        <w:t xml:space="preserve">level </w:t>
      </w:r>
      <w:r w:rsidR="10FD8C71">
        <w:t>for the reimbursement of the Union contribution (Article 51(c) CPR)</w:t>
      </w:r>
      <w:r>
        <w:t xml:space="preserve"> and </w:t>
      </w:r>
      <w:r w:rsidR="0244055A">
        <w:t xml:space="preserve">at </w:t>
      </w:r>
      <w:r>
        <w:t>lower level</w:t>
      </w:r>
      <w:r w:rsidR="10FD8C71">
        <w:t xml:space="preserve"> for grant</w:t>
      </w:r>
      <w:r w:rsidR="06675A94">
        <w:t>s</w:t>
      </w:r>
      <w:r w:rsidR="10FD8C71">
        <w:t xml:space="preserve"> provided by the Member State to the beneficiary (Article 53(1)(b) CPR).</w:t>
      </w:r>
    </w:p>
    <w:p w14:paraId="63B334EC" w14:textId="12512C44" w:rsidR="00EB435C" w:rsidRPr="00BF0D1A" w:rsidRDefault="00EB435C" w:rsidP="00736D3A">
      <w:pPr>
        <w:pStyle w:val="Heading3"/>
        <w:numPr>
          <w:ilvl w:val="2"/>
          <w:numId w:val="8"/>
        </w:numPr>
        <w:rPr>
          <w:color w:val="4472C4" w:themeColor="accent1"/>
        </w:rPr>
      </w:pPr>
      <w:bookmarkStart w:id="21" w:name="_Hlk162871138"/>
      <w:bookmarkStart w:id="22" w:name="_Toc168350302"/>
      <w:bookmarkEnd w:id="20"/>
      <w:r w:rsidRPr="00BF0D1A">
        <w:rPr>
          <w:color w:val="4472C4" w:themeColor="accent1"/>
        </w:rPr>
        <w:t>General principles</w:t>
      </w:r>
      <w:bookmarkEnd w:id="22"/>
    </w:p>
    <w:p w14:paraId="765C0542" w14:textId="32E4B1F4" w:rsidR="00702787" w:rsidRPr="00702787" w:rsidRDefault="000A2B88" w:rsidP="008B6EF8">
      <w:pPr>
        <w:ind w:left="851"/>
      </w:pPr>
      <w:r>
        <w:rPr>
          <w:noProof/>
          <w:color w:val="2B579A"/>
          <w:shd w:val="clear" w:color="auto" w:fill="E6E6E6"/>
        </w:rPr>
        <w:drawing>
          <wp:anchor distT="0" distB="0" distL="114300" distR="114300" simplePos="0" relativeHeight="251580928" behindDoc="0" locked="0" layoutInCell="1" allowOverlap="1" wp14:anchorId="16514B50" wp14:editId="52272D1C">
            <wp:simplePos x="0" y="0"/>
            <wp:positionH relativeFrom="margin">
              <wp:posOffset>-71562</wp:posOffset>
            </wp:positionH>
            <wp:positionV relativeFrom="paragraph">
              <wp:posOffset>190390</wp:posOffset>
            </wp:positionV>
            <wp:extent cx="428625" cy="428625"/>
            <wp:effectExtent l="0" t="0" r="9525" b="0"/>
            <wp:wrapSquare wrapText="bothSides"/>
            <wp:docPr id="1568654243" name="Graphic 1568654243" descr="Blackboard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0"/>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428625" cy="428625"/>
                    </a:xfrm>
                    <a:prstGeom prst="rect">
                      <a:avLst/>
                    </a:prstGeom>
                  </pic:spPr>
                </pic:pic>
              </a:graphicData>
            </a:graphic>
            <wp14:sizeRelH relativeFrom="page">
              <wp14:pctWidth>0</wp14:pctWidth>
            </wp14:sizeRelH>
            <wp14:sizeRelV relativeFrom="page">
              <wp14:pctHeight>0</wp14:pctHeight>
            </wp14:sizeRelV>
          </wp:anchor>
        </w:drawing>
      </w:r>
      <w:r w:rsidR="00702787" w:rsidRPr="00702787">
        <w:t xml:space="preserve">In the case of standard scales of unit costs, </w:t>
      </w:r>
      <w:proofErr w:type="gramStart"/>
      <w:r w:rsidR="00702787" w:rsidRPr="00702787">
        <w:t>all</w:t>
      </w:r>
      <w:proofErr w:type="gramEnd"/>
      <w:r w:rsidR="00702787" w:rsidRPr="00702787">
        <w:t xml:space="preserve"> or part of the eligible costs of an operation will be calculated on the basis of quantified activities, input, outputs or results multiplied by standard scales of unit costs established in advance. This possibility can be used for any type of operation, </w:t>
      </w:r>
      <w:proofErr w:type="gramStart"/>
      <w:r w:rsidR="00702787" w:rsidRPr="00702787">
        <w:t>project</w:t>
      </w:r>
      <w:proofErr w:type="gramEnd"/>
      <w:r w:rsidR="00702787" w:rsidRPr="00702787">
        <w:t xml:space="preserve"> or part of a project, when it is possible to define quantities related to an activity and </w:t>
      </w:r>
      <w:r w:rsidR="00BB5F1E">
        <w:t xml:space="preserve">related </w:t>
      </w:r>
      <w:r w:rsidR="00702787" w:rsidRPr="00702787">
        <w:t xml:space="preserve">standard scales of unit costs. </w:t>
      </w:r>
      <w:r w:rsidR="00702787" w:rsidRPr="008B6EF8">
        <w:rPr>
          <w:b/>
          <w:bCs/>
          <w:color w:val="4472C4" w:themeColor="accent1"/>
        </w:rPr>
        <w:t>Standard scales of unit costs apply typically to easily identifiable quantities.</w:t>
      </w:r>
    </w:p>
    <w:p w14:paraId="5987007A" w14:textId="7C87041A" w:rsidR="00702787" w:rsidRDefault="6ED4D0F5" w:rsidP="00B32403">
      <w:r>
        <w:t>Unit costs can be:</w:t>
      </w:r>
    </w:p>
    <w:p w14:paraId="2436D644" w14:textId="57C38527" w:rsidR="00702787" w:rsidRDefault="6ED4D0F5" w:rsidP="000A2B88">
      <w:pPr>
        <w:pStyle w:val="ListParagraph"/>
        <w:numPr>
          <w:ilvl w:val="0"/>
          <w:numId w:val="104"/>
        </w:numPr>
      </w:pPr>
      <w:r>
        <w:t xml:space="preserve">Process-based, </w:t>
      </w:r>
      <w:r w:rsidR="004844BA">
        <w:t>i.e.,</w:t>
      </w:r>
      <w:r>
        <w:t xml:space="preserve"> linked to inputs (</w:t>
      </w:r>
      <w:r w:rsidR="004844BA">
        <w:t>e.g.,</w:t>
      </w:r>
      <w:r>
        <w:t xml:space="preserve"> hourly unit cost for a trainer) or outputs (</w:t>
      </w:r>
      <w:proofErr w:type="gramStart"/>
      <w:r>
        <w:t>e.g.</w:t>
      </w:r>
      <w:proofErr w:type="gramEnd"/>
      <w:r>
        <w:t xml:space="preserve"> hourly unit cost per trainee)</w:t>
      </w:r>
      <w:r w:rsidR="00BF0D1A">
        <w:t>;</w:t>
      </w:r>
    </w:p>
    <w:p w14:paraId="62D08E8F" w14:textId="4710854F" w:rsidR="00702787" w:rsidRDefault="6ED4D0F5" w:rsidP="000A2B88">
      <w:pPr>
        <w:pStyle w:val="ListParagraph"/>
        <w:numPr>
          <w:ilvl w:val="0"/>
          <w:numId w:val="104"/>
        </w:numPr>
      </w:pPr>
      <w:r>
        <w:t>Results- or outcome-based (</w:t>
      </w:r>
      <w:r w:rsidR="004844BA">
        <w:t>e.g.,</w:t>
      </w:r>
      <w:r>
        <w:t xml:space="preserve"> unit cost per person obtaining a training certificate).</w:t>
      </w:r>
    </w:p>
    <w:p w14:paraId="7EEC8F39" w14:textId="550F55C4" w:rsidR="00702787" w:rsidRDefault="51B97A7B" w:rsidP="00B32403">
      <w:r>
        <w:t>Managing authorities should take into consideration the audit trail when choosing between process and out</w:t>
      </w:r>
      <w:r w:rsidR="3A282D06">
        <w:t>come</w:t>
      </w:r>
      <w:r>
        <w:t xml:space="preserve">-based unit costs. </w:t>
      </w:r>
    </w:p>
    <w:tbl>
      <w:tblPr>
        <w:tblStyle w:val="GridTable4-Accent1"/>
        <w:tblW w:w="0" w:type="auto"/>
        <w:tblLook w:val="04A0" w:firstRow="1" w:lastRow="0" w:firstColumn="1" w:lastColumn="0" w:noHBand="0" w:noVBand="1"/>
      </w:tblPr>
      <w:tblGrid>
        <w:gridCol w:w="9016"/>
      </w:tblGrid>
      <w:tr w:rsidR="00857929" w14:paraId="5E544E5C" w14:textId="77777777" w:rsidTr="30D7A8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11A0591" w14:textId="14DC4356" w:rsidR="00857929" w:rsidRDefault="00857929" w:rsidP="00B32403">
            <w:r>
              <w:t>Example 1 (ESF+)</w:t>
            </w:r>
          </w:p>
        </w:tc>
      </w:tr>
      <w:tr w:rsidR="00857929" w14:paraId="6B88F0C3" w14:textId="77777777" w:rsidTr="30D7A8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3C583AB7" w14:textId="1DAF511F" w:rsidR="00857929" w:rsidRPr="00857929" w:rsidRDefault="01EB843A" w:rsidP="00857929">
            <w:pPr>
              <w:rPr>
                <w:b w:val="0"/>
                <w:bCs w:val="0"/>
              </w:rPr>
            </w:pPr>
            <w:r w:rsidRPr="26708D1D">
              <w:rPr>
                <w:color w:val="4472C4" w:themeColor="accent1"/>
              </w:rPr>
              <w:t xml:space="preserve">a) Process-based: </w:t>
            </w:r>
            <w:r>
              <w:rPr>
                <w:b w:val="0"/>
                <w:bCs w:val="0"/>
              </w:rPr>
              <w:t xml:space="preserve">For advanced IT training of 1 000 hours provided for 20 trainees, the eligible costs may be calculated based on a cost per hour of training x number of trainees. The cost per hour has been defined in advance by the managing authority and is shown in the document setting out the conditions for support. </w:t>
            </w:r>
          </w:p>
          <w:p w14:paraId="1FD1595F" w14:textId="77777777" w:rsidR="00857929" w:rsidRPr="00857929" w:rsidRDefault="00857929" w:rsidP="00857929">
            <w:pPr>
              <w:rPr>
                <w:b w:val="0"/>
                <w:bCs w:val="0"/>
              </w:rPr>
            </w:pPr>
            <w:r w:rsidRPr="00857929">
              <w:rPr>
                <w:b w:val="0"/>
                <w:bCs w:val="0"/>
              </w:rPr>
              <w:t xml:space="preserve">Assuming, for example, that the managing authority sets the training cost at EUR 7 per hour of training per trainee, the maximum grant allocated to the project would be capped at 1 000 hours x 20 trainees x EUR 7 /hr. / trainee = EUR 140 000. </w:t>
            </w:r>
          </w:p>
          <w:p w14:paraId="666F39B9" w14:textId="285C216A" w:rsidR="00857929" w:rsidRPr="00857929" w:rsidRDefault="0A192716" w:rsidP="00857929">
            <w:pPr>
              <w:rPr>
                <w:b w:val="0"/>
                <w:bCs w:val="0"/>
              </w:rPr>
            </w:pPr>
            <w:r>
              <w:rPr>
                <w:b w:val="0"/>
                <w:bCs w:val="0"/>
              </w:rPr>
              <w:t xml:space="preserve">At the end of the </w:t>
            </w:r>
            <w:r>
              <w:rPr>
                <w:b w:val="0"/>
                <w:bCs w:val="0"/>
              </w:rPr>
              <w:t xml:space="preserve">operation the final eligible costs will be set </w:t>
            </w:r>
            <w:proofErr w:type="gramStart"/>
            <w:r>
              <w:rPr>
                <w:b w:val="0"/>
                <w:bCs w:val="0"/>
              </w:rPr>
              <w:t>on the basis of</w:t>
            </w:r>
            <w:proofErr w:type="gramEnd"/>
            <w:r>
              <w:rPr>
                <w:b w:val="0"/>
                <w:bCs w:val="0"/>
              </w:rPr>
              <w:t xml:space="preserve"> the real number of hours for each trainee (that could include some justified absences), according to actual participation of trainees and delivered courses. </w:t>
            </w:r>
            <w:r w:rsidRPr="30D7A848">
              <w:rPr>
                <w:color w:val="4472C4" w:themeColor="accent1"/>
              </w:rPr>
              <w:t>There will still be a need for accurate attendance sheets of trainees</w:t>
            </w:r>
            <w:r w:rsidR="7D8FE5A5" w:rsidRPr="30D7A848">
              <w:rPr>
                <w:color w:val="4472C4" w:themeColor="accent1"/>
              </w:rPr>
              <w:t>.</w:t>
            </w:r>
            <w:r w:rsidRPr="30D7A848">
              <w:rPr>
                <w:color w:val="4472C4" w:themeColor="accent1"/>
              </w:rPr>
              <w:t xml:space="preserve"> </w:t>
            </w:r>
            <w:r w:rsidR="00857929" w:rsidRPr="00857929">
              <w:rPr>
                <w:b w:val="0"/>
                <w:bCs w:val="0"/>
              </w:rPr>
              <w:t xml:space="preserve">If, finally, only 18 people participated in the training, 6 of them for 900 hours, 5 of them for 950 hours, 5 of them for 980 hours and the remaining </w:t>
            </w:r>
            <w:r w:rsidR="00857929" w:rsidRPr="00857929">
              <w:rPr>
                <w:b w:val="0"/>
                <w:bCs w:val="0"/>
              </w:rPr>
              <w:t xml:space="preserve">2 for 1 000 hours, the number of total hours x trainees will be equal to: </w:t>
            </w:r>
          </w:p>
          <w:p w14:paraId="5406680A" w14:textId="051B9D96" w:rsidR="00857929" w:rsidRPr="00857929" w:rsidRDefault="00857929" w:rsidP="00857929">
            <w:pPr>
              <w:rPr>
                <w:b w:val="0"/>
                <w:bCs w:val="0"/>
              </w:rPr>
            </w:pPr>
            <w:r w:rsidRPr="00857929">
              <w:rPr>
                <w:b w:val="0"/>
                <w:bCs w:val="0"/>
              </w:rPr>
              <w:t xml:space="preserve">900x6 + 950x5 + 980x5 + 1 000x2 = 17 050 total hours of training. </w:t>
            </w:r>
          </w:p>
          <w:p w14:paraId="634F1296" w14:textId="1DBF8732" w:rsidR="00857929" w:rsidRDefault="00857929" w:rsidP="006012B3">
            <w:r w:rsidRPr="00857929">
              <w:rPr>
                <w:b w:val="0"/>
                <w:bCs w:val="0"/>
              </w:rPr>
              <w:t xml:space="preserve">The eligible expenditure will be: 17 050 hours of training x EUR 7 = EUR 119 350. </w:t>
            </w:r>
          </w:p>
        </w:tc>
      </w:tr>
      <w:tr w:rsidR="006012B3" w14:paraId="5D842B2C" w14:textId="77777777" w:rsidTr="30D7A848">
        <w:tc>
          <w:tcPr>
            <w:cnfStyle w:val="001000000000" w:firstRow="0" w:lastRow="0" w:firstColumn="1" w:lastColumn="0" w:oddVBand="0" w:evenVBand="0" w:oddHBand="0" w:evenHBand="0" w:firstRowFirstColumn="0" w:firstRowLastColumn="0" w:lastRowFirstColumn="0" w:lastRowLastColumn="0"/>
            <w:tcW w:w="9016" w:type="dxa"/>
          </w:tcPr>
          <w:p w14:paraId="245C4BC5" w14:textId="59B0A091" w:rsidR="006012B3" w:rsidRPr="006012B3" w:rsidRDefault="006012B3" w:rsidP="006012B3">
            <w:pPr>
              <w:rPr>
                <w:b w:val="0"/>
                <w:bCs w:val="0"/>
              </w:rPr>
            </w:pPr>
            <w:r w:rsidRPr="00A71A6C">
              <w:rPr>
                <w:color w:val="4472C4" w:themeColor="accent1"/>
              </w:rPr>
              <w:t xml:space="preserve">b) Result-based: </w:t>
            </w:r>
            <w:r w:rsidRPr="006012B3">
              <w:rPr>
                <w:b w:val="0"/>
                <w:bCs w:val="0"/>
              </w:rPr>
              <w:t xml:space="preserve">The advanced IT training of 1 000 hours consists of 5 modules of 200 hours each. A fair, equitable and verifiable methodology according to Article 53(3)(a) CPR was used to establish the total costs of delivering this IT training for 25 participants. The total costs, EUR 140 000, is then attributed to the successful participants. </w:t>
            </w:r>
            <w:r w:rsidR="008163AE" w:rsidRPr="006012B3">
              <w:rPr>
                <w:b w:val="0"/>
                <w:bCs w:val="0"/>
              </w:rPr>
              <w:t>Considering</w:t>
            </w:r>
            <w:r w:rsidRPr="006012B3">
              <w:rPr>
                <w:b w:val="0"/>
                <w:bCs w:val="0"/>
              </w:rPr>
              <w:t xml:space="preserve"> a historic failure rate of 20% (i.e.</w:t>
            </w:r>
            <w:r w:rsidR="008163AE">
              <w:rPr>
                <w:b w:val="0"/>
                <w:bCs w:val="0"/>
              </w:rPr>
              <w:t>,</w:t>
            </w:r>
            <w:r w:rsidRPr="006012B3">
              <w:rPr>
                <w:b w:val="0"/>
                <w:bCs w:val="0"/>
              </w:rPr>
              <w:t xml:space="preserve"> 5 participants) the unit costs per </w:t>
            </w:r>
            <w:r w:rsidRPr="006012B3">
              <w:rPr>
                <w:b w:val="0"/>
                <w:bCs w:val="0"/>
              </w:rPr>
              <w:lastRenderedPageBreak/>
              <w:t>participant and successfully completed module would be EUR 140 000 / 20 participants / 5 modules = EUR 1 400 (unit cost per participant per successful completed module).</w:t>
            </w:r>
          </w:p>
          <w:p w14:paraId="7D9F2610" w14:textId="06895A90" w:rsidR="006012B3" w:rsidRPr="006012B3" w:rsidRDefault="006012B3" w:rsidP="00857929">
            <w:pPr>
              <w:rPr>
                <w:b w:val="0"/>
                <w:bCs w:val="0"/>
              </w:rPr>
            </w:pPr>
            <w:r w:rsidRPr="00CF69A2">
              <w:rPr>
                <w:color w:val="4472C4" w:themeColor="accent1"/>
              </w:rPr>
              <w:t>The audit trail would entail a document proving the eligibility of the participant and a certificate per successfully complete module or complete course. No timesheets would be required.</w:t>
            </w:r>
          </w:p>
        </w:tc>
      </w:tr>
    </w:tbl>
    <w:p w14:paraId="6BCA1DD2" w14:textId="77777777" w:rsidR="00857929" w:rsidRDefault="00857929" w:rsidP="00B32403"/>
    <w:tbl>
      <w:tblPr>
        <w:tblStyle w:val="GridTable4-Accent1"/>
        <w:tblW w:w="0" w:type="auto"/>
        <w:tblLook w:val="04A0" w:firstRow="1" w:lastRow="0" w:firstColumn="1" w:lastColumn="0" w:noHBand="0" w:noVBand="1"/>
      </w:tblPr>
      <w:tblGrid>
        <w:gridCol w:w="9016"/>
      </w:tblGrid>
      <w:tr w:rsidR="00E82D0B" w14:paraId="4EFEB51E" w14:textId="77777777" w:rsidTr="004C25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4BD1E9AF" w14:textId="419FA97B" w:rsidR="00E82D0B" w:rsidRPr="004C2567" w:rsidRDefault="00E82D0B" w:rsidP="00B32403">
            <w:r w:rsidRPr="004C2567">
              <w:t>Example 2 (ERDF output-based)</w:t>
            </w:r>
          </w:p>
        </w:tc>
      </w:tr>
      <w:tr w:rsidR="00E82D0B" w14:paraId="1EF566EA" w14:textId="77777777" w:rsidTr="004C25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1C7711DF" w14:textId="67210152" w:rsidR="00E82D0B" w:rsidRPr="00E82D0B" w:rsidRDefault="00E82D0B" w:rsidP="00B32403">
            <w:pPr>
              <w:rPr>
                <w:color w:val="4472C4" w:themeColor="accent1"/>
              </w:rPr>
            </w:pPr>
            <w:r w:rsidRPr="004C2567">
              <w:rPr>
                <w:b w:val="0"/>
                <w:bCs w:val="0"/>
              </w:rPr>
              <w:t xml:space="preserve">The beneficiary, a regional Chamber, organises an advisory service for the SMEs of the region. This service is supplied by the advisors of the regional Chamber. Based on past accounts of the ‘advisory’ department of the Chamber, a day of advice is estimated at EUR 350/day. The assistance will be calculated </w:t>
            </w:r>
            <w:proofErr w:type="gramStart"/>
            <w:r w:rsidRPr="004C2567">
              <w:rPr>
                <w:b w:val="0"/>
                <w:bCs w:val="0"/>
              </w:rPr>
              <w:t>on the basis of</w:t>
            </w:r>
            <w:proofErr w:type="gramEnd"/>
            <w:r w:rsidRPr="004C2567">
              <w:rPr>
                <w:b w:val="0"/>
                <w:bCs w:val="0"/>
              </w:rPr>
              <w:t xml:space="preserve"> the following formula: number of days x EUR 350.</w:t>
            </w:r>
            <w:r w:rsidRPr="002E14AC">
              <w:t xml:space="preserve"> </w:t>
            </w:r>
            <w:r w:rsidRPr="002E14AC">
              <w:rPr>
                <w:color w:val="4472C4" w:themeColor="accent1"/>
              </w:rPr>
              <w:t>There will still be a need for accurate timesheets detailing the advisory activity and the presence of advisors.</w:t>
            </w:r>
          </w:p>
        </w:tc>
      </w:tr>
    </w:tbl>
    <w:p w14:paraId="147F9D12" w14:textId="77777777" w:rsidR="00217460" w:rsidRDefault="00217460" w:rsidP="00B32403"/>
    <w:tbl>
      <w:tblPr>
        <w:tblStyle w:val="GridTable4-Accent1"/>
        <w:tblW w:w="0" w:type="auto"/>
        <w:tblLook w:val="04A0" w:firstRow="1" w:lastRow="0" w:firstColumn="1" w:lastColumn="0" w:noHBand="0" w:noVBand="1"/>
      </w:tblPr>
      <w:tblGrid>
        <w:gridCol w:w="9016"/>
      </w:tblGrid>
      <w:tr w:rsidR="00994D95" w14:paraId="778685FE" w14:textId="77777777" w:rsidTr="26708D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637AC28D" w14:textId="6011CB7E" w:rsidR="00994D95" w:rsidRDefault="00994D95" w:rsidP="00B32403">
            <w:r w:rsidRPr="00994D95">
              <w:t>Example 3 (ESF+ result-based)</w:t>
            </w:r>
          </w:p>
        </w:tc>
      </w:tr>
      <w:tr w:rsidR="00994D95" w14:paraId="73ECC1B9" w14:textId="77777777" w:rsidTr="26708D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10A2467E" w14:textId="296FF6E3" w:rsidR="007973A2" w:rsidRPr="007973A2" w:rsidRDefault="116833FA" w:rsidP="007973A2">
            <w:pPr>
              <w:rPr>
                <w:b w:val="0"/>
                <w:bCs w:val="0"/>
              </w:rPr>
            </w:pPr>
            <w:r>
              <w:rPr>
                <w:b w:val="0"/>
                <w:bCs w:val="0"/>
              </w:rPr>
              <w:t xml:space="preserve">A job-search assistance programme lasting 6 months (‘the operation’) could be financed </w:t>
            </w:r>
            <w:proofErr w:type="gramStart"/>
            <w:r>
              <w:rPr>
                <w:b w:val="0"/>
                <w:bCs w:val="0"/>
              </w:rPr>
              <w:t>on the basis of</w:t>
            </w:r>
            <w:proofErr w:type="gramEnd"/>
            <w:r>
              <w:rPr>
                <w:b w:val="0"/>
                <w:bCs w:val="0"/>
              </w:rPr>
              <w:t xml:space="preserve"> standard scales of unit costs (for example EUR 2 000/person) for each of the 20 participants in the operation who gets a job and retains it for a pre-established period, for example six months. The unit cost of EUR 2 000 per successful participant was established </w:t>
            </w:r>
            <w:proofErr w:type="gramStart"/>
            <w:r>
              <w:rPr>
                <w:b w:val="0"/>
                <w:bCs w:val="0"/>
              </w:rPr>
              <w:t>taking into account</w:t>
            </w:r>
            <w:proofErr w:type="gramEnd"/>
            <w:r>
              <w:rPr>
                <w:b w:val="0"/>
                <w:bCs w:val="0"/>
              </w:rPr>
              <w:t xml:space="preserve"> costs for all participants. The amount therefore also covers expenses for unsuccessful participants.   </w:t>
            </w:r>
          </w:p>
          <w:p w14:paraId="3C771934" w14:textId="77777777" w:rsidR="007973A2" w:rsidRPr="007973A2" w:rsidRDefault="007973A2" w:rsidP="007973A2">
            <w:pPr>
              <w:rPr>
                <w:b w:val="0"/>
                <w:bCs w:val="0"/>
              </w:rPr>
            </w:pPr>
            <w:r w:rsidRPr="007973A2">
              <w:rPr>
                <w:b w:val="0"/>
                <w:bCs w:val="0"/>
              </w:rPr>
              <w:t xml:space="preserve">Calculation of the maximum grant allocated to the operation: 20 persons x EUR 2 000 /placement = EUR 40 000. </w:t>
            </w:r>
          </w:p>
          <w:p w14:paraId="7ECF5B41" w14:textId="47BD0B15" w:rsidR="00994D95" w:rsidRPr="007973A2" w:rsidRDefault="007973A2" w:rsidP="00B32403">
            <w:r w:rsidRPr="007973A2">
              <w:rPr>
                <w:b w:val="0"/>
                <w:bCs w:val="0"/>
              </w:rPr>
              <w:t xml:space="preserve">The final eligible costs are calculated </w:t>
            </w:r>
            <w:proofErr w:type="gramStart"/>
            <w:r w:rsidRPr="007973A2">
              <w:rPr>
                <w:b w:val="0"/>
                <w:bCs w:val="0"/>
              </w:rPr>
              <w:t>on the basis of</w:t>
            </w:r>
            <w:proofErr w:type="gramEnd"/>
            <w:r w:rsidRPr="007973A2">
              <w:rPr>
                <w:b w:val="0"/>
                <w:bCs w:val="0"/>
              </w:rPr>
              <w:t xml:space="preserve"> the real output of the operation: if only 17 persons were placed on the labour market and retained their jobs for the requested period, the final eligible costs on the basis of which the grant will be paid to the beneficiary would be 17 x EUR 2 000 = EUR 34 000.</w:t>
            </w:r>
          </w:p>
        </w:tc>
      </w:tr>
    </w:tbl>
    <w:p w14:paraId="50BDE6F7" w14:textId="77777777" w:rsidR="00994D95" w:rsidRDefault="00994D95" w:rsidP="00B32403"/>
    <w:tbl>
      <w:tblPr>
        <w:tblStyle w:val="GridTable4-Accent1"/>
        <w:tblW w:w="0" w:type="auto"/>
        <w:tblLook w:val="04A0" w:firstRow="1" w:lastRow="0" w:firstColumn="1" w:lastColumn="0" w:noHBand="0" w:noVBand="1"/>
      </w:tblPr>
      <w:tblGrid>
        <w:gridCol w:w="9016"/>
      </w:tblGrid>
      <w:tr w:rsidR="00651B65" w14:paraId="5E2A004A" w14:textId="77777777" w:rsidTr="040099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F377902" w14:textId="246B27CD" w:rsidR="00651B65" w:rsidRDefault="00651B65" w:rsidP="00B32403">
            <w:r w:rsidRPr="00651B65">
              <w:t>Example 4 (EMFAF process based)</w:t>
            </w:r>
          </w:p>
        </w:tc>
      </w:tr>
      <w:tr w:rsidR="00651B65" w14:paraId="754EAE84" w14:textId="77777777" w:rsidTr="040099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C5A0A6D" w14:textId="777A94DD" w:rsidR="00651B65" w:rsidRPr="00651B65" w:rsidRDefault="00651B65" w:rsidP="00B32403">
            <w:pPr>
              <w:rPr>
                <w:b w:val="0"/>
                <w:bCs w:val="0"/>
              </w:rPr>
            </w:pPr>
            <w:r w:rsidRPr="00651B65">
              <w:rPr>
                <w:b w:val="0"/>
                <w:bCs w:val="0"/>
              </w:rPr>
              <w:t xml:space="preserve">Daily rates for vessel usage are calculated </w:t>
            </w:r>
            <w:proofErr w:type="gramStart"/>
            <w:r w:rsidRPr="00651B65">
              <w:rPr>
                <w:b w:val="0"/>
                <w:bCs w:val="0"/>
              </w:rPr>
              <w:t>on the basis of</w:t>
            </w:r>
            <w:proofErr w:type="gramEnd"/>
            <w:r w:rsidRPr="00651B65">
              <w:rPr>
                <w:b w:val="0"/>
                <w:bCs w:val="0"/>
              </w:rPr>
              <w:t xml:space="preserve"> historical data (averages from past years). The number of days allocated to the project are then </w:t>
            </w:r>
            <w:r w:rsidRPr="00CF69A2">
              <w:rPr>
                <w:color w:val="4472C4" w:themeColor="accent1"/>
              </w:rPr>
              <w:t>evidenced through logbooks</w:t>
            </w:r>
            <w:r w:rsidRPr="00651B65">
              <w:rPr>
                <w:b w:val="0"/>
                <w:bCs w:val="0"/>
              </w:rPr>
              <w:t>.</w:t>
            </w:r>
          </w:p>
        </w:tc>
      </w:tr>
    </w:tbl>
    <w:p w14:paraId="52C0BB0C" w14:textId="77777777" w:rsidR="00651B65" w:rsidRDefault="00651B65" w:rsidP="00B32403"/>
    <w:tbl>
      <w:tblPr>
        <w:tblStyle w:val="GridTable4-Accent1"/>
        <w:tblW w:w="0" w:type="auto"/>
        <w:tblLook w:val="04A0" w:firstRow="1" w:lastRow="0" w:firstColumn="1" w:lastColumn="0" w:noHBand="0" w:noVBand="1"/>
      </w:tblPr>
      <w:tblGrid>
        <w:gridCol w:w="9016"/>
      </w:tblGrid>
      <w:tr w:rsidR="00651B65" w14:paraId="17CAC444" w14:textId="77777777" w:rsidTr="00651B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554D7693" w14:textId="6E4360A0" w:rsidR="00651B65" w:rsidRDefault="00651B65" w:rsidP="00B32403">
            <w:r w:rsidRPr="00651B65">
              <w:t>Example 5 (AMIF): Funding of different projects forming part of the same operation – use of two different unit costs</w:t>
            </w:r>
          </w:p>
        </w:tc>
      </w:tr>
      <w:tr w:rsidR="00651B65" w14:paraId="74E5313A" w14:textId="77777777" w:rsidTr="00651B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4F86C451" w14:textId="77777777" w:rsidR="00651B65" w:rsidRPr="00651B65" w:rsidRDefault="00651B65" w:rsidP="00651B65">
            <w:pPr>
              <w:rPr>
                <w:b w:val="0"/>
                <w:bCs w:val="0"/>
              </w:rPr>
            </w:pPr>
            <w:r w:rsidRPr="00651B65">
              <w:rPr>
                <w:b w:val="0"/>
                <w:bCs w:val="0"/>
              </w:rPr>
              <w:t>The managing authority provides a grant of 1 600 000 EUR to a public agency dealing with asylum seekers, for an operation covering two types of activities: 1) first reception support of third-country nationals after their arrival in a Member State (max. 1 000 000 EUR), 2) language trainings for asylum seekers (max. 600 000 EUR).</w:t>
            </w:r>
          </w:p>
          <w:p w14:paraId="00263AEF" w14:textId="77777777" w:rsidR="00651B65" w:rsidRPr="00651B65" w:rsidRDefault="00651B65" w:rsidP="00651B65">
            <w:pPr>
              <w:rPr>
                <w:b w:val="0"/>
                <w:bCs w:val="0"/>
              </w:rPr>
            </w:pPr>
            <w:r w:rsidRPr="00651B65">
              <w:rPr>
                <w:b w:val="0"/>
                <w:bCs w:val="0"/>
              </w:rPr>
              <w:t xml:space="preserve">For the first reception support, the Managing Authority developed (based on historical data) a unit cost of 50 EUR per day and person to cover the cost of one day of assistance provided to a third-country national during their reception period in the host country. The categories of costs included in the unit cost amount cover all </w:t>
            </w:r>
            <w:r w:rsidRPr="00651B65">
              <w:rPr>
                <w:b w:val="0"/>
                <w:bCs w:val="0"/>
              </w:rPr>
              <w:lastRenderedPageBreak/>
              <w:t xml:space="preserve">elements of the reception (such as accommodation, the provision of food and non-food items, medical examination, interpretation, guardianship for unaccompanied minors, </w:t>
            </w:r>
            <w:proofErr w:type="gramStart"/>
            <w:r w:rsidRPr="00651B65">
              <w:rPr>
                <w:b w:val="0"/>
                <w:bCs w:val="0"/>
              </w:rPr>
              <w:t>information</w:t>
            </w:r>
            <w:proofErr w:type="gramEnd"/>
            <w:r w:rsidRPr="00651B65">
              <w:rPr>
                <w:b w:val="0"/>
                <w:bCs w:val="0"/>
              </w:rPr>
              <w:t xml:space="preserve"> and counselling). The maximum grant allocation is capped to 1 day x 50 EUR x 20 000 third-country nationals = 1 000 000 EUR.  </w:t>
            </w:r>
          </w:p>
          <w:p w14:paraId="55AF9EB1" w14:textId="77777777" w:rsidR="00651B65" w:rsidRPr="00651B65" w:rsidRDefault="00651B65" w:rsidP="00651B65">
            <w:pPr>
              <w:rPr>
                <w:b w:val="0"/>
                <w:bCs w:val="0"/>
              </w:rPr>
            </w:pPr>
            <w:r w:rsidRPr="00651B65">
              <w:rPr>
                <w:b w:val="0"/>
                <w:bCs w:val="0"/>
              </w:rPr>
              <w:t>The obligatory elements of the audit trail for this unit cost consist of a signed and dated list of third-country nationals supported and duration of their stay (in days), together with their official and unique identification (a document that officially confirms the identity of the person), and a proof of the support provided (e.g. signed and dated list of provided food and non-food items, signed and dated counselling attendance sheet, signed and dated note issued by an authorised healthcare professional).</w:t>
            </w:r>
          </w:p>
          <w:p w14:paraId="4D67CB29" w14:textId="77777777" w:rsidR="00651B65" w:rsidRPr="00651B65" w:rsidRDefault="00651B65" w:rsidP="00651B65">
            <w:pPr>
              <w:rPr>
                <w:b w:val="0"/>
                <w:bCs w:val="0"/>
              </w:rPr>
            </w:pPr>
            <w:r w:rsidRPr="00651B65">
              <w:rPr>
                <w:b w:val="0"/>
                <w:bCs w:val="0"/>
              </w:rPr>
              <w:t xml:space="preserve">The eligible expenditure is calculated </w:t>
            </w:r>
            <w:proofErr w:type="gramStart"/>
            <w:r w:rsidRPr="00651B65">
              <w:rPr>
                <w:b w:val="0"/>
                <w:bCs w:val="0"/>
              </w:rPr>
              <w:t>on the basis of</w:t>
            </w:r>
            <w:proofErr w:type="gramEnd"/>
            <w:r w:rsidRPr="00651B65">
              <w:rPr>
                <w:b w:val="0"/>
                <w:bCs w:val="0"/>
              </w:rPr>
              <w:t xml:space="preserve"> the actual days of the first reception support and the number of supported third-country nationals. This means that if for instance 1 000 third-country nationals were supported, 500 of which for 30 days and 500 for 10 days, the number of total days/persons will be equal to: 500 x 20 + 500 x 10 = 15 000 day/person of support. The eligible expenditure will be = 15 000 x 50 EUR = 750 000 EUR.</w:t>
            </w:r>
          </w:p>
          <w:p w14:paraId="21E9CA79" w14:textId="77777777" w:rsidR="00651B65" w:rsidRPr="00651B65" w:rsidRDefault="00651B65" w:rsidP="00651B65">
            <w:pPr>
              <w:rPr>
                <w:b w:val="0"/>
                <w:bCs w:val="0"/>
              </w:rPr>
            </w:pPr>
            <w:r w:rsidRPr="00651B65">
              <w:rPr>
                <w:b w:val="0"/>
                <w:bCs w:val="0"/>
              </w:rPr>
              <w:t>For the language training, the Managing Authority developed (based on historical data) a unit cost of 10 EUR per hour and person to cover the costs of one hour of a lesson (the length of a lesson is 60 minutes) for one trainee/asylum seeker to attend a language course of up to 60 hours in adequately sized groups (up to 15 trainees per group). The categories of costs included in the unit cost amount cover all costs of the language training (such as staff costs, rental costs pf training premises, training materials). The maximum grant allocation to the project is capped to 60 hours x 1 000 trainees x 10 EUR/hr/trainee = 600 000 EUR.</w:t>
            </w:r>
          </w:p>
          <w:p w14:paraId="210950FC" w14:textId="77777777" w:rsidR="00651B65" w:rsidRPr="00651B65" w:rsidRDefault="00651B65" w:rsidP="00651B65">
            <w:pPr>
              <w:rPr>
                <w:b w:val="0"/>
                <w:bCs w:val="0"/>
              </w:rPr>
            </w:pPr>
            <w:r w:rsidRPr="00651B65">
              <w:rPr>
                <w:b w:val="0"/>
                <w:bCs w:val="0"/>
              </w:rPr>
              <w:t xml:space="preserve">The audit trail to support the expenditure needs to include a </w:t>
            </w:r>
            <w:r w:rsidRPr="00186705">
              <w:rPr>
                <w:color w:val="4472C4" w:themeColor="accent1"/>
              </w:rPr>
              <w:t>proof/document(s) that monitors the actual attendance (number of hours) of the trainees and the course duration, documents confirming the identity of the trainees/asylum seekers and documents regulating the timing and content of the language course, the size of the group (max. 15) and the standard length of a lesson (60 minutes).</w:t>
            </w:r>
          </w:p>
          <w:p w14:paraId="7D74A2E4" w14:textId="77777777" w:rsidR="00651B65" w:rsidRPr="00651B65" w:rsidRDefault="00651B65" w:rsidP="00651B65">
            <w:pPr>
              <w:rPr>
                <w:b w:val="0"/>
                <w:bCs w:val="0"/>
              </w:rPr>
            </w:pPr>
            <w:r w:rsidRPr="00651B65">
              <w:rPr>
                <w:b w:val="0"/>
                <w:bCs w:val="0"/>
              </w:rPr>
              <w:t xml:space="preserve">The eligible expenditure is calculated </w:t>
            </w:r>
            <w:proofErr w:type="gramStart"/>
            <w:r w:rsidRPr="00651B65">
              <w:rPr>
                <w:b w:val="0"/>
                <w:bCs w:val="0"/>
              </w:rPr>
              <w:t>on the basis of</w:t>
            </w:r>
            <w:proofErr w:type="gramEnd"/>
            <w:r w:rsidRPr="00651B65">
              <w:rPr>
                <w:b w:val="0"/>
                <w:bCs w:val="0"/>
              </w:rPr>
              <w:t xml:space="preserve"> the actual number of training hours delivered to each asylum seeker/trainee. This means that if for instance only 900 asylum seekers/trainees participated in the training, 750 of which for 60 hours, 50 for 55 hours, 100 for 50 hours, the number of total hours x trainees will be equal to: 750 x 60 + 50 x 55 + 100 x 50 = 52 750 total hours of training x trainees. The eligible expenditure will be = 52 750 x 10 EUR = 527 500 EUR.</w:t>
            </w:r>
          </w:p>
          <w:p w14:paraId="58D81687" w14:textId="7E9A12BD" w:rsidR="00651B65" w:rsidRPr="00651B65" w:rsidRDefault="00651B65" w:rsidP="00651B65">
            <w:pPr>
              <w:rPr>
                <w:b w:val="0"/>
                <w:bCs w:val="0"/>
              </w:rPr>
            </w:pPr>
            <w:r w:rsidRPr="00651B65">
              <w:rPr>
                <w:b w:val="0"/>
                <w:bCs w:val="0"/>
              </w:rPr>
              <w:t>Given that there are two different projects/activities forming separate part of the same operation and covering different costs of the operation, there is no risk of double financing as each project/activity costs are clearly separated.</w:t>
            </w:r>
          </w:p>
        </w:tc>
      </w:tr>
    </w:tbl>
    <w:p w14:paraId="2291612B" w14:textId="2F65F311" w:rsidR="00EA2F1E" w:rsidRPr="00355502" w:rsidRDefault="00EA2F1E" w:rsidP="00736D3A">
      <w:pPr>
        <w:pStyle w:val="Heading3"/>
        <w:numPr>
          <w:ilvl w:val="2"/>
          <w:numId w:val="8"/>
        </w:numPr>
        <w:rPr>
          <w:color w:val="4472C4" w:themeColor="accent1"/>
        </w:rPr>
      </w:pPr>
      <w:bookmarkStart w:id="23" w:name="_Ref163479783"/>
      <w:bookmarkStart w:id="24" w:name="_Toc168350303"/>
      <w:bookmarkEnd w:id="21"/>
      <w:r w:rsidRPr="00355502">
        <w:rPr>
          <w:color w:val="4472C4" w:themeColor="accent1"/>
        </w:rPr>
        <w:lastRenderedPageBreak/>
        <w:t>Staff costs calculated at an hourly rate (Article 55(2) to (4) CPR)</w:t>
      </w:r>
      <w:bookmarkEnd w:id="23"/>
      <w:bookmarkEnd w:id="24"/>
    </w:p>
    <w:p w14:paraId="6093A9D0" w14:textId="77777777" w:rsidR="00367DF7" w:rsidRPr="00367DF7" w:rsidRDefault="00367DF7" w:rsidP="00B32403">
      <w:r w:rsidRPr="00367DF7">
        <w:t xml:space="preserve">Article 55 (2) CPR provides for two specific methods to </w:t>
      </w:r>
      <w:r w:rsidRPr="00690B27">
        <w:t>calculate direct</w:t>
      </w:r>
      <w:r w:rsidRPr="00367DF7">
        <w:t xml:space="preserve"> staff costs.</w:t>
      </w:r>
      <w:r w:rsidRPr="00367DF7">
        <w:rPr>
          <w:vertAlign w:val="superscript"/>
        </w:rPr>
        <w:footnoteReference w:id="13"/>
      </w:r>
      <w:r w:rsidRPr="00367DF7">
        <w:t xml:space="preserve"> Both options can be used to calculate an hourly rate to determine direct staff costs.</w:t>
      </w:r>
    </w:p>
    <w:p w14:paraId="1BE684B4" w14:textId="77777777" w:rsidR="00367DF7" w:rsidRPr="00367DF7" w:rsidRDefault="00367DF7" w:rsidP="00B32403">
      <w:r w:rsidRPr="00367DF7">
        <w:t>The two methods are the following:</w:t>
      </w:r>
    </w:p>
    <w:p w14:paraId="63A5D46F" w14:textId="77777777" w:rsidR="00DB67D9" w:rsidRPr="00DB67D9" w:rsidRDefault="00DB67D9" w:rsidP="00B32403">
      <w:pPr>
        <w:pStyle w:val="ListParagraph"/>
        <w:numPr>
          <w:ilvl w:val="0"/>
          <w:numId w:val="25"/>
        </w:numPr>
      </w:pPr>
      <w:r w:rsidRPr="00DB67D9">
        <w:t xml:space="preserve">calculation of the hourly rate by dividing annual gross employment costs by 1720, Article 55(2)(a) </w:t>
      </w:r>
      <w:proofErr w:type="gramStart"/>
      <w:r w:rsidRPr="00DB67D9">
        <w:t>CPR;</w:t>
      </w:r>
      <w:proofErr w:type="gramEnd"/>
    </w:p>
    <w:p w14:paraId="38540B0E" w14:textId="4DDCBF9E" w:rsidR="00DB67D9" w:rsidRPr="00DB67D9" w:rsidRDefault="00DB67D9" w:rsidP="00B32403">
      <w:pPr>
        <w:pStyle w:val="ListParagraph"/>
        <w:numPr>
          <w:ilvl w:val="0"/>
          <w:numId w:val="25"/>
        </w:numPr>
      </w:pPr>
      <w:r w:rsidRPr="00DB67D9">
        <w:t xml:space="preserve">calculation of the hourly rate by dividing </w:t>
      </w:r>
      <w:r w:rsidR="008B6EF8">
        <w:t xml:space="preserve">the </w:t>
      </w:r>
      <w:r w:rsidRPr="00DB67D9">
        <w:t>monthly gross employment costs by the average monthly working time, Article 55(2)(b) CPR.</w:t>
      </w:r>
    </w:p>
    <w:p w14:paraId="3F1D13C7" w14:textId="62F67CB6" w:rsidR="00367DF7" w:rsidRDefault="00DB67D9" w:rsidP="00B32403">
      <w:r w:rsidRPr="00DB67D9">
        <w:t>The option introduced in Article 55(2)(b) CPR can even be used in the case where the data on annual gross employment costs is available.</w:t>
      </w:r>
      <w:r w:rsidR="005A392E">
        <w:t xml:space="preserve"> </w:t>
      </w:r>
    </w:p>
    <w:p w14:paraId="59C284B4" w14:textId="3D60F84D" w:rsidR="008B6EF8" w:rsidRDefault="48CEAEAC" w:rsidP="3728CE6D">
      <w:pPr>
        <w:rPr>
          <w:i/>
          <w:iCs/>
        </w:rPr>
      </w:pPr>
      <w:r>
        <w:t xml:space="preserve">Calculated direct staff costs relate to the implementation of an operation. ‘Implementation of an operation’ </w:t>
      </w:r>
      <w:proofErr w:type="gramStart"/>
      <w:r>
        <w:t>has to</w:t>
      </w:r>
      <w:proofErr w:type="gramEnd"/>
      <w:r>
        <w:t xml:space="preserve"> be understood as covering all the steps of an operation.</w:t>
      </w:r>
    </w:p>
    <w:tbl>
      <w:tblPr>
        <w:tblStyle w:val="GridTable4-Accent1"/>
        <w:tblW w:w="0" w:type="auto"/>
        <w:tblLook w:val="04A0" w:firstRow="1" w:lastRow="0" w:firstColumn="1" w:lastColumn="0" w:noHBand="0" w:noVBand="1"/>
      </w:tblPr>
      <w:tblGrid>
        <w:gridCol w:w="9016"/>
      </w:tblGrid>
      <w:tr w:rsidR="005C0347" w14:paraId="57EDE80D" w14:textId="77777777" w:rsidTr="005C03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228809D5" w14:textId="4A73D159" w:rsidR="005C0347" w:rsidRDefault="005C0347" w:rsidP="00B32403">
            <w:r>
              <w:lastRenderedPageBreak/>
              <w:t>Example</w:t>
            </w:r>
          </w:p>
        </w:tc>
      </w:tr>
      <w:tr w:rsidR="005C0347" w14:paraId="67A14CB3" w14:textId="77777777" w:rsidTr="005C03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5D2D74E" w14:textId="77777777" w:rsidR="005C0347" w:rsidRPr="005C0347" w:rsidRDefault="005C0347" w:rsidP="005C0347">
            <w:pPr>
              <w:rPr>
                <w:b w:val="0"/>
                <w:bCs w:val="0"/>
              </w:rPr>
            </w:pPr>
            <w:r w:rsidRPr="005C0347">
              <w:rPr>
                <w:b w:val="0"/>
                <w:bCs w:val="0"/>
              </w:rPr>
              <w:t xml:space="preserve">Certain types of projects targeted at SMEs in the field of R&amp;D and innovation often involve personnel costs as a key element. The application of standard scales of unit costs as an option is a welcome simplification for these SMEs. The unit cost for activities is expressed in this case as an hourly rate applied to hours effectively worked by the staff. It is defined in advance in the document setting out the conditions for support that fixes the maximum amount of financial assistance as the maximum worked hours allowed multiplied by the unit cost (the calculated costs of the staff involved). </w:t>
            </w:r>
          </w:p>
          <w:p w14:paraId="5CD01B30" w14:textId="2DF30997" w:rsidR="006F7C3F" w:rsidRDefault="005C0347" w:rsidP="006F7C3F">
            <w:r w:rsidRPr="005C0347">
              <w:rPr>
                <w:b w:val="0"/>
                <w:bCs w:val="0"/>
              </w:rPr>
              <w:t xml:space="preserve">Aiming at covering the real costs through a best approximation and </w:t>
            </w:r>
            <w:proofErr w:type="gramStart"/>
            <w:r w:rsidRPr="005C0347">
              <w:rPr>
                <w:b w:val="0"/>
                <w:bCs w:val="0"/>
              </w:rPr>
              <w:t>in order to</w:t>
            </w:r>
            <w:proofErr w:type="gramEnd"/>
            <w:r w:rsidRPr="005C0347">
              <w:rPr>
                <w:b w:val="0"/>
                <w:bCs w:val="0"/>
              </w:rPr>
              <w:t xml:space="preserve"> take into account distinctions among regions and branches, the cost for a standard unit is defined as an hourly staff cost according to the following formula</w:t>
            </w:r>
            <w:r w:rsidR="006F7C3F">
              <w:rPr>
                <w:b w:val="0"/>
                <w:bCs w:val="0"/>
              </w:rPr>
              <w:t xml:space="preserve"> </w:t>
            </w:r>
            <w:r w:rsidR="006F7C3F" w:rsidRPr="006F7C3F">
              <w:rPr>
                <w:b w:val="0"/>
                <w:bCs w:val="0"/>
                <w:i/>
                <w:iCs/>
              </w:rPr>
              <w:t>(based on Article 55(2)(a) CPR)</w:t>
            </w:r>
            <w:r w:rsidRPr="006F7C3F">
              <w:rPr>
                <w:b w:val="0"/>
                <w:bCs w:val="0"/>
                <w:i/>
                <w:iCs/>
              </w:rPr>
              <w:t>:</w:t>
            </w:r>
            <w:r w:rsidR="006F7C3F" w:rsidRPr="005C0347">
              <w:rPr>
                <w:b w:val="0"/>
                <w:bCs w:val="0"/>
              </w:rPr>
              <w:t xml:space="preserve"> </w:t>
            </w:r>
          </w:p>
          <w:p w14:paraId="035199A6" w14:textId="39DC8B13" w:rsidR="006F7C3F" w:rsidRPr="005C0347" w:rsidRDefault="006F7C3F" w:rsidP="006F7C3F">
            <w:pPr>
              <w:rPr>
                <w:b w:val="0"/>
                <w:bCs w:val="0"/>
              </w:rPr>
            </w:pPr>
            <w:r w:rsidRPr="005C0347">
              <w:rPr>
                <w:b w:val="0"/>
                <w:bCs w:val="0"/>
              </w:rPr>
              <w:t xml:space="preserve">Hourly staff cost = latest documented gross annual salary (including legal charges) divided by 1720 hours. </w:t>
            </w:r>
          </w:p>
          <w:p w14:paraId="6C802196" w14:textId="7072E54B" w:rsidR="006F7C3F" w:rsidRDefault="006F7C3F" w:rsidP="006F7C3F">
            <w:r w:rsidRPr="005C0347">
              <w:rPr>
                <w:b w:val="0"/>
                <w:bCs w:val="0"/>
              </w:rPr>
              <w:t xml:space="preserve">For example: Hourly rate = EUR 60 000 / 1720 hours = 34.88 EUR/hr. </w:t>
            </w:r>
          </w:p>
          <w:p w14:paraId="5CEC12FD" w14:textId="09AAB0D6" w:rsidR="005C0347" w:rsidRDefault="005C0347" w:rsidP="00B32403">
            <w:r w:rsidRPr="005C0347">
              <w:rPr>
                <w:b w:val="0"/>
                <w:bCs w:val="0"/>
              </w:rPr>
              <w:t xml:space="preserve">The financial assistance given to the operation is calculated as the hourly rate multiplied by the real and verified number of hours worked. This </w:t>
            </w:r>
            <w:r w:rsidRPr="006F7C3F">
              <w:rPr>
                <w:color w:val="4472C4" w:themeColor="accent1"/>
              </w:rPr>
              <w:t>requires SMEs to keep all supporting documents for hours worked by staff on the project and the managing authority must keep all the documents justifying the hourly staff cost</w:t>
            </w:r>
            <w:r w:rsidRPr="005C0347">
              <w:rPr>
                <w:b w:val="0"/>
                <w:bCs w:val="0"/>
              </w:rPr>
              <w:t>. In principle, a reduction in the verified hours worked results in a reduction in the final amount to be paid.</w:t>
            </w:r>
          </w:p>
        </w:tc>
      </w:tr>
      <w:tr w:rsidR="005C0347" w14:paraId="04478E29" w14:textId="77777777" w:rsidTr="005C0347">
        <w:tc>
          <w:tcPr>
            <w:cnfStyle w:val="001000000000" w:firstRow="0" w:lastRow="0" w:firstColumn="1" w:lastColumn="0" w:oddVBand="0" w:evenVBand="0" w:oddHBand="0" w:evenHBand="0" w:firstRowFirstColumn="0" w:firstRowLastColumn="0" w:lastRowFirstColumn="0" w:lastRowLastColumn="0"/>
            <w:tcW w:w="9016" w:type="dxa"/>
          </w:tcPr>
          <w:p w14:paraId="273DDAED" w14:textId="1DDF5E34" w:rsidR="005C0347" w:rsidRPr="005C0347" w:rsidRDefault="005C0347" w:rsidP="005C0347">
            <w:pPr>
              <w:rPr>
                <w:b w:val="0"/>
                <w:bCs w:val="0"/>
              </w:rPr>
            </w:pPr>
            <w:r w:rsidRPr="005C0347">
              <w:rPr>
                <w:b w:val="0"/>
                <w:bCs w:val="0"/>
              </w:rPr>
              <w:t xml:space="preserve">Alternative example: </w:t>
            </w:r>
            <w:r w:rsidRPr="005C0347">
              <w:rPr>
                <w:b w:val="0"/>
                <w:bCs w:val="0"/>
                <w:i/>
              </w:rPr>
              <w:t>Same as above but the hourly staff cost is</w:t>
            </w:r>
            <w:r w:rsidR="006F7C3F">
              <w:rPr>
                <w:b w:val="0"/>
                <w:bCs w:val="0"/>
                <w:i/>
              </w:rPr>
              <w:t xml:space="preserve"> calculated as following</w:t>
            </w:r>
            <w:r w:rsidRPr="005C0347">
              <w:rPr>
                <w:b w:val="0"/>
                <w:bCs w:val="0"/>
                <w:i/>
              </w:rPr>
              <w:t xml:space="preserve">. </w:t>
            </w:r>
          </w:p>
          <w:p w14:paraId="1D9E61BA" w14:textId="768743AD" w:rsidR="006F7C3F" w:rsidRPr="005C0347" w:rsidRDefault="006F7C3F" w:rsidP="006F7C3F">
            <w:pPr>
              <w:rPr>
                <w:b w:val="0"/>
                <w:bCs w:val="0"/>
              </w:rPr>
            </w:pPr>
            <w:r w:rsidRPr="005C0347">
              <w:rPr>
                <w:b w:val="0"/>
                <w:bCs w:val="0"/>
              </w:rPr>
              <w:t xml:space="preserve">Hourly staff cost = gross annual salary (including legal charges) divided by average legal working hours (taking annual leave into account). </w:t>
            </w:r>
          </w:p>
          <w:p w14:paraId="3208523C" w14:textId="030DD4CF" w:rsidR="005C0347" w:rsidRPr="005C0347" w:rsidRDefault="006F7C3F" w:rsidP="00B32403">
            <w:pPr>
              <w:rPr>
                <w:b w:val="0"/>
                <w:bCs w:val="0"/>
              </w:rPr>
            </w:pPr>
            <w:r w:rsidRPr="005C0347">
              <w:rPr>
                <w:b w:val="0"/>
                <w:bCs w:val="0"/>
              </w:rPr>
              <w:t>For example: Hourly staff cost = EUR 60 000 / (1980 hours – 190 hours of annual leave) = 60 000/1 790 = 33.52 EUR/hr.</w:t>
            </w:r>
          </w:p>
        </w:tc>
      </w:tr>
    </w:tbl>
    <w:p w14:paraId="750A1834" w14:textId="7C3F1EBF" w:rsidR="005A392E" w:rsidRDefault="005A392E" w:rsidP="00B32403">
      <w:pPr>
        <w:pStyle w:val="Style3"/>
      </w:pPr>
      <w:r w:rsidRPr="005A392E">
        <w:t>Calculation of the hourly rate by dividing the latest documented annual gross employment costs by 1720, Article 55(2)(a) CPR</w:t>
      </w:r>
    </w:p>
    <w:p w14:paraId="14627F23" w14:textId="77777777" w:rsidR="005A392E" w:rsidRPr="005A392E" w:rsidRDefault="005A392E" w:rsidP="00B32403">
      <w:pPr>
        <w:rPr>
          <w:i/>
          <w:iCs/>
        </w:rPr>
      </w:pPr>
      <w:r w:rsidRPr="005A392E">
        <w:t xml:space="preserve">The first option of Article 55(2)(a) CPR is to determine direct staff costs by calculating an hourly rate as follows: </w:t>
      </w:r>
    </w:p>
    <w:tbl>
      <w:tblPr>
        <w:tblW w:w="0" w:type="auto"/>
        <w:tblLook w:val="04A0" w:firstRow="1" w:lastRow="0" w:firstColumn="1" w:lastColumn="0" w:noHBand="0" w:noVBand="1"/>
      </w:tblPr>
      <w:tblGrid>
        <w:gridCol w:w="2605"/>
        <w:gridCol w:w="6352"/>
      </w:tblGrid>
      <w:tr w:rsidR="005A392E" w:rsidRPr="005A392E" w14:paraId="42197B51" w14:textId="77777777">
        <w:trPr>
          <w:trHeight w:val="510"/>
        </w:trPr>
        <w:tc>
          <w:tcPr>
            <w:tcW w:w="2605" w:type="dxa"/>
            <w:vMerge w:val="restart"/>
            <w:shd w:val="clear" w:color="auto" w:fill="auto"/>
            <w:vAlign w:val="center"/>
          </w:tcPr>
          <w:p w14:paraId="044243D1" w14:textId="77777777" w:rsidR="005A392E" w:rsidRPr="005A392E" w:rsidRDefault="005A392E" w:rsidP="00B32403">
            <w:pPr>
              <w:rPr>
                <w:rFonts w:eastAsia="Times New Roman"/>
                <w:lang w:eastAsia="en-GB"/>
              </w:rPr>
            </w:pPr>
            <w:r w:rsidRPr="005A392E">
              <w:rPr>
                <w:rFonts w:eastAsia="Times New Roman"/>
                <w:lang w:eastAsia="en-GB"/>
              </w:rPr>
              <w:t>Hourly staff cost =</w:t>
            </w:r>
          </w:p>
        </w:tc>
        <w:tc>
          <w:tcPr>
            <w:tcW w:w="6352" w:type="dxa"/>
            <w:tcBorders>
              <w:bottom w:val="single" w:sz="4" w:space="0" w:color="auto"/>
            </w:tcBorders>
            <w:shd w:val="clear" w:color="auto" w:fill="auto"/>
          </w:tcPr>
          <w:p w14:paraId="7D305428" w14:textId="77777777" w:rsidR="005A392E" w:rsidRPr="005A392E" w:rsidRDefault="005A392E" w:rsidP="00C64EE9">
            <w:pPr>
              <w:jc w:val="center"/>
              <w:rPr>
                <w:rFonts w:eastAsia="Times New Roman"/>
                <w:lang w:eastAsia="en-GB"/>
              </w:rPr>
            </w:pPr>
            <w:r w:rsidRPr="005A392E">
              <w:rPr>
                <w:rFonts w:eastAsia="Times New Roman"/>
                <w:lang w:eastAsia="en-GB"/>
              </w:rPr>
              <w:t>latest documented annual gross employment costs</w:t>
            </w:r>
          </w:p>
        </w:tc>
      </w:tr>
      <w:tr w:rsidR="005A392E" w:rsidRPr="005A392E" w14:paraId="5940A532" w14:textId="77777777">
        <w:trPr>
          <w:trHeight w:val="153"/>
        </w:trPr>
        <w:tc>
          <w:tcPr>
            <w:tcW w:w="2605" w:type="dxa"/>
            <w:vMerge/>
            <w:shd w:val="clear" w:color="auto" w:fill="auto"/>
          </w:tcPr>
          <w:p w14:paraId="669CA4C5" w14:textId="77777777" w:rsidR="005A392E" w:rsidRPr="005A392E" w:rsidRDefault="005A392E" w:rsidP="00B32403">
            <w:pPr>
              <w:rPr>
                <w:rFonts w:eastAsia="Times New Roman"/>
                <w:lang w:eastAsia="en-GB"/>
              </w:rPr>
            </w:pPr>
          </w:p>
        </w:tc>
        <w:tc>
          <w:tcPr>
            <w:tcW w:w="6352" w:type="dxa"/>
            <w:tcBorders>
              <w:top w:val="single" w:sz="4" w:space="0" w:color="auto"/>
            </w:tcBorders>
            <w:shd w:val="clear" w:color="auto" w:fill="auto"/>
          </w:tcPr>
          <w:p w14:paraId="226A0B4F" w14:textId="77777777" w:rsidR="005A392E" w:rsidRPr="005A392E" w:rsidRDefault="005A392E" w:rsidP="00C64EE9">
            <w:pPr>
              <w:jc w:val="center"/>
              <w:rPr>
                <w:rFonts w:eastAsia="Times New Roman"/>
                <w:lang w:eastAsia="en-GB"/>
              </w:rPr>
            </w:pPr>
            <w:r w:rsidRPr="005A392E">
              <w:rPr>
                <w:rFonts w:eastAsia="Times New Roman"/>
                <w:lang w:eastAsia="en-GB"/>
              </w:rPr>
              <w:t>1720</w:t>
            </w:r>
          </w:p>
        </w:tc>
      </w:tr>
    </w:tbl>
    <w:p w14:paraId="0602B1DF" w14:textId="7B6453E0" w:rsidR="0070196A" w:rsidRPr="0070196A" w:rsidRDefault="0070196A" w:rsidP="00B32403">
      <w:r w:rsidRPr="0070196A">
        <w:t>The denominator</w:t>
      </w:r>
      <w:r w:rsidR="008A31ED">
        <w:t>,</w:t>
      </w:r>
      <w:r w:rsidRPr="0070196A">
        <w:t xml:space="preserve"> i.e.</w:t>
      </w:r>
      <w:r w:rsidR="008A31ED">
        <w:t>,</w:t>
      </w:r>
      <w:r w:rsidRPr="0070196A">
        <w:t xml:space="preserve"> </w:t>
      </w:r>
      <w:r w:rsidRPr="00C64EE9">
        <w:rPr>
          <w:b/>
          <w:bCs/>
          <w:color w:val="4472C4" w:themeColor="accent1"/>
        </w:rPr>
        <w:t>1720 hours</w:t>
      </w:r>
      <w:r w:rsidR="008A31ED" w:rsidRPr="00C64EE9">
        <w:rPr>
          <w:b/>
          <w:bCs/>
          <w:color w:val="4472C4" w:themeColor="accent1"/>
        </w:rPr>
        <w:t>,</w:t>
      </w:r>
      <w:r w:rsidRPr="00C64EE9">
        <w:rPr>
          <w:b/>
          <w:bCs/>
          <w:color w:val="4472C4" w:themeColor="accent1"/>
        </w:rPr>
        <w:t xml:space="preserve"> is a standard annual ‘working time’ that can be used directly, without there being a requirement for the Member State to perform any calculation</w:t>
      </w:r>
      <w:r w:rsidRPr="0070196A">
        <w:t>. This figure is based on Member States' average weekly working hours multiplied by 52 weeks and from which annual paid leave and average annual public holidays were deducted. For persons working part-time, a corresponding pro-rata of 1 720 hours is to be used. For example, for the calculation of the hourly rate for a person working only 50% (i.e., 0,5 Full Time Equivalent (FTE) for the beneficiary), the denominator would be 860 hours (1 720 x (50/100) = 860). Reference for this should be the working time laid down in the work contract or appointment decision.</w:t>
      </w:r>
    </w:p>
    <w:p w14:paraId="306E79E0" w14:textId="5E8F1D19" w:rsidR="0070196A" w:rsidRPr="0070196A" w:rsidRDefault="236B6C97" w:rsidP="008A31ED">
      <w:r>
        <w:t xml:space="preserve">The numerator, however, needs to be justified. The CPR refers to the ‘latest documented annual gross employment cost´. However, </w:t>
      </w:r>
      <w:r w:rsidRPr="30D7A848">
        <w:rPr>
          <w:b/>
          <w:bCs/>
          <w:color w:val="4472C4" w:themeColor="accent1"/>
        </w:rPr>
        <w:t>gross employment costs are not defined</w:t>
      </w:r>
      <w:r w:rsidRPr="30D7A848">
        <w:rPr>
          <w:color w:val="4472C4" w:themeColor="accent1"/>
        </w:rPr>
        <w:t xml:space="preserve"> </w:t>
      </w:r>
      <w:r>
        <w:t>in the CPR. In accordance with Article 63(1) CPR</w:t>
      </w:r>
      <w:r w:rsidR="0C989D9F">
        <w:t>,</w:t>
      </w:r>
      <w:r>
        <w:t xml:space="preserve"> eligibility rules will need </w:t>
      </w:r>
      <w:r>
        <w:t xml:space="preserve">to define what is covered by annual gross employment costs, </w:t>
      </w:r>
      <w:proofErr w:type="gramStart"/>
      <w:r>
        <w:t>taking into account</w:t>
      </w:r>
      <w:proofErr w:type="gramEnd"/>
      <w:r>
        <w:t xml:space="preserve"> the usual accounting practices (see section </w:t>
      </w:r>
      <w:r w:rsidR="00B41E73">
        <w:t>3.2.</w:t>
      </w:r>
      <w:r w:rsidR="00281462">
        <w:t>1.</w:t>
      </w:r>
      <w:r>
        <w:t>) and national rules (e.g.</w:t>
      </w:r>
      <w:r w:rsidR="32D6C694">
        <w:t>,</w:t>
      </w:r>
      <w:r>
        <w:t xml:space="preserve"> the national rules may determine that expenses for commuting t</w:t>
      </w:r>
      <w:r>
        <w:t>o the workplace are part of the gross employment costs).</w:t>
      </w:r>
    </w:p>
    <w:p w14:paraId="19465341" w14:textId="7F558BD0" w:rsidR="0070196A" w:rsidRPr="0070196A" w:rsidRDefault="008A31ED" w:rsidP="008A31ED">
      <w:pPr>
        <w:ind w:left="851"/>
      </w:pPr>
      <w:r>
        <w:rPr>
          <w:noProof/>
          <w:color w:val="2B579A"/>
          <w:shd w:val="clear" w:color="auto" w:fill="E6E6E6"/>
        </w:rPr>
        <w:lastRenderedPageBreak/>
        <w:drawing>
          <wp:anchor distT="0" distB="0" distL="114300" distR="114300" simplePos="0" relativeHeight="251623936" behindDoc="0" locked="0" layoutInCell="1" allowOverlap="1" wp14:anchorId="5D6C3086" wp14:editId="112D70E0">
            <wp:simplePos x="0" y="0"/>
            <wp:positionH relativeFrom="margin">
              <wp:align>left</wp:align>
            </wp:positionH>
            <wp:positionV relativeFrom="paragraph">
              <wp:posOffset>71120</wp:posOffset>
            </wp:positionV>
            <wp:extent cx="406400" cy="406400"/>
            <wp:effectExtent l="0" t="0" r="0" b="0"/>
            <wp:wrapSquare wrapText="bothSides"/>
            <wp:docPr id="7" name="Graphic 7" descr="Magnifying glas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descr="Magnifying glass with solid fill"/>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406400" cy="406400"/>
                    </a:xfrm>
                    <a:prstGeom prst="rect">
                      <a:avLst/>
                    </a:prstGeom>
                  </pic:spPr>
                </pic:pic>
              </a:graphicData>
            </a:graphic>
            <wp14:sizeRelH relativeFrom="margin">
              <wp14:pctWidth>0</wp14:pctWidth>
            </wp14:sizeRelH>
            <wp14:sizeRelV relativeFrom="margin">
              <wp14:pctHeight>0</wp14:pctHeight>
            </wp14:sizeRelV>
          </wp:anchor>
        </w:drawing>
      </w:r>
      <w:r w:rsidR="0070196A" w:rsidRPr="0070196A">
        <w:t xml:space="preserve">The Regulation refers to the calculation of the hourly rate using the </w:t>
      </w:r>
      <w:r w:rsidR="0070196A" w:rsidRPr="0070196A">
        <w:rPr>
          <w:color w:val="4472C4" w:themeColor="accent1"/>
        </w:rPr>
        <w:t>‘</w:t>
      </w:r>
      <w:r w:rsidR="0070196A" w:rsidRPr="0070196A">
        <w:rPr>
          <w:b/>
          <w:bCs/>
          <w:color w:val="4472C4" w:themeColor="accent1"/>
        </w:rPr>
        <w:t>latest’</w:t>
      </w:r>
      <w:r w:rsidR="0070196A" w:rsidRPr="0070196A">
        <w:rPr>
          <w:b/>
          <w:bCs/>
        </w:rPr>
        <w:t xml:space="preserve"> </w:t>
      </w:r>
      <w:r w:rsidR="0070196A" w:rsidRPr="0070196A">
        <w:t>documented annual gross employment cost. This means that the data used need to be the most recently available. Thus, a calculation method based on historical data of the beneficiary is normally not relevant. The intention behind the term "latest" in Article 55(2) CPR is to make sure that the data used are recent enough, thus indicative of real direct staff costs.</w:t>
      </w:r>
    </w:p>
    <w:p w14:paraId="39F4A607" w14:textId="5142ACA3" w:rsidR="0070196A" w:rsidRPr="0070196A" w:rsidRDefault="0070196A" w:rsidP="00B32403">
      <w:r w:rsidRPr="0070196A">
        <w:t xml:space="preserve">Annual gross employment costs </w:t>
      </w:r>
      <w:r w:rsidRPr="0070196A">
        <w:rPr>
          <w:b/>
          <w:bCs/>
          <w:color w:val="4472C4" w:themeColor="accent1"/>
        </w:rPr>
        <w:t>do not have to relate to a calendar or financial year</w:t>
      </w:r>
      <w:r w:rsidRPr="0070196A">
        <w:rPr>
          <w:color w:val="4472C4" w:themeColor="accent1"/>
        </w:rPr>
        <w:t xml:space="preserve"> </w:t>
      </w:r>
      <w:r w:rsidRPr="0070196A">
        <w:t>(for example, it could be data relating to the period October 2022 to September 2023</w:t>
      </w:r>
      <w:r w:rsidR="00C64EE9">
        <w:t>)</w:t>
      </w:r>
      <w:r w:rsidRPr="0070196A">
        <w:t>. What is important is that the gross employment cost covers a full 12-month period. It can be the 12-month period preceding the end of a reporting period (of the operation or the programme), 12 months before the document setting out the conditions for support or 12 months of the previous calendar year. In accordance with Article 55(4) CPR, where data for a full 12-month period is not available, they</w:t>
      </w:r>
    </w:p>
    <w:p w14:paraId="70652A19" w14:textId="77777777" w:rsidR="0070196A" w:rsidRPr="0070196A" w:rsidRDefault="0070196A" w:rsidP="00B32403">
      <w:pPr>
        <w:pStyle w:val="ListParagraph"/>
        <w:numPr>
          <w:ilvl w:val="0"/>
          <w:numId w:val="26"/>
        </w:numPr>
      </w:pPr>
      <w:r w:rsidRPr="0070196A">
        <w:t xml:space="preserve">may be derived from the available documented gross employment costs (for example, the managing authority could take the data relating to an employee for whom 4 months of data exists, and extrapolate this to the annual gross employment costs, taking account, where relevant, of issues such as statutory holiday payments or so-called 13th month payments). </w:t>
      </w:r>
    </w:p>
    <w:p w14:paraId="43F16C94" w14:textId="5F176828" w:rsidR="005A392E" w:rsidRPr="0070196A" w:rsidRDefault="0070196A" w:rsidP="00B32403">
      <w:pPr>
        <w:pStyle w:val="ListParagraph"/>
        <w:numPr>
          <w:ilvl w:val="0"/>
          <w:numId w:val="26"/>
        </w:numPr>
      </w:pPr>
      <w:r w:rsidRPr="6B8ED2E7">
        <w:t>may be derived from the employment document</w:t>
      </w:r>
      <w:r>
        <w:t>.</w:t>
      </w:r>
    </w:p>
    <w:p w14:paraId="37C7C152" w14:textId="77777777" w:rsidR="0070196A" w:rsidRPr="0070196A" w:rsidRDefault="0070196A" w:rsidP="00B32403">
      <w:r w:rsidRPr="0070196A">
        <w:t xml:space="preserve">The annual gross employment costs can be based on the real employment costs of this person. For months with incomplete data, extrapolated values may be taken to arrive at a good proxy to real costs of a 12-month period.  </w:t>
      </w:r>
    </w:p>
    <w:p w14:paraId="05502C7A" w14:textId="77777777" w:rsidR="0070196A" w:rsidRPr="0070196A" w:rsidRDefault="0070196A" w:rsidP="00B32403">
      <w:r w:rsidRPr="0070196A">
        <w:t xml:space="preserve">The annual gross employment costs may also be based on the average of the employment costs of a larger aggregate of employees, for example, those of the same grade or some similar measures, which correlate roughly to employment cost level. </w:t>
      </w:r>
    </w:p>
    <w:p w14:paraId="6FC6F4F2" w14:textId="77777777" w:rsidR="0070196A" w:rsidRPr="0070196A" w:rsidRDefault="0070196A" w:rsidP="00B32403">
      <w:r w:rsidRPr="0070196A">
        <w:t xml:space="preserve">The latest annual gross employment costs need to be documented: this can be done through accounts, payroll reports, referencing to publicly available agreements or documents, etc. They do not have to be audited ex-ante but </w:t>
      </w:r>
      <w:proofErr w:type="gramStart"/>
      <w:r w:rsidRPr="0070196A">
        <w:t>have to</w:t>
      </w:r>
      <w:proofErr w:type="gramEnd"/>
      <w:r w:rsidRPr="0070196A">
        <w:t xml:space="preserve"> be auditable. </w:t>
      </w:r>
    </w:p>
    <w:p w14:paraId="3A0E7722" w14:textId="3EAFE3B2" w:rsidR="0070196A" w:rsidRDefault="0070196A" w:rsidP="00B32403">
      <w:r w:rsidRPr="0070196A">
        <w:t>Within specific situations, the amount of the hourly rate may as well be fixed after the start of the project. It can be determined, for example, when an employed person gets involved in the project (signature of the contract of employment or change of assignment for an employee) or when the beneficiary reports their costs to the managing authority. However, in this case, the document setting out the conditions for support needs to specify the use of this methodology too.</w:t>
      </w:r>
    </w:p>
    <w:p w14:paraId="50A06664" w14:textId="7CC2E190" w:rsidR="00690B27" w:rsidRDefault="00690B27" w:rsidP="00B32403">
      <w:pPr>
        <w:pStyle w:val="Style3"/>
      </w:pPr>
      <w:r w:rsidRPr="00690B27">
        <w:t xml:space="preserve">Calculation of the </w:t>
      </w:r>
      <w:r w:rsidRPr="00B32403">
        <w:t>hourly</w:t>
      </w:r>
      <w:r w:rsidRPr="00690B27">
        <w:t xml:space="preserve"> rate by dividing monthly gross employment costs by the average monthly working time, Article 55(2)(</w:t>
      </w:r>
      <w:r w:rsidR="00C64EE9">
        <w:t>b</w:t>
      </w:r>
      <w:r w:rsidRPr="00690B27">
        <w:t>) CPR</w:t>
      </w:r>
    </w:p>
    <w:p w14:paraId="6CA68D62" w14:textId="6DF66BD2" w:rsidR="00690B27" w:rsidRPr="00690B27" w:rsidRDefault="00690B27" w:rsidP="00B32403">
      <w:r>
        <w:t xml:space="preserve">When </w:t>
      </w:r>
      <w:r w:rsidRPr="00B32403">
        <w:t>calculating</w:t>
      </w:r>
      <w:r w:rsidRPr="00690B27">
        <w:t xml:space="preserve"> an hourly rate to determine direct staff costs based on </w:t>
      </w:r>
      <w:r>
        <w:t>Article 55(2)(b) CPR</w:t>
      </w:r>
      <w:r w:rsidRPr="00690B27">
        <w:t>, it is for the M</w:t>
      </w:r>
      <w:r>
        <w:t xml:space="preserve">ember </w:t>
      </w:r>
      <w:r w:rsidRPr="00690B27">
        <w:t>S</w:t>
      </w:r>
      <w:r>
        <w:t>tate</w:t>
      </w:r>
      <w:r w:rsidRPr="00690B27">
        <w:t xml:space="preserve"> to establish the average monthly working time, in accordance with applicable national rules referred to in the employment document. </w:t>
      </w:r>
    </w:p>
    <w:p w14:paraId="2288FBD7" w14:textId="167445C0" w:rsidR="00690B27" w:rsidRDefault="0001432F" w:rsidP="00B32403">
      <w:pPr>
        <w:pStyle w:val="Style3"/>
        <w:spacing w:before="120"/>
      </w:pPr>
      <w:r>
        <w:t>The determination of eligible Staff costs using the calculated hourly rate</w:t>
      </w:r>
    </w:p>
    <w:p w14:paraId="660630C4" w14:textId="0B65DD79" w:rsidR="007C7D46" w:rsidRDefault="007C7D46" w:rsidP="007C7D46">
      <w:r w:rsidRPr="007C7D46">
        <w:t xml:space="preserve">The number of hours worked needs to be determined in line with the eligibility rules of the respective </w:t>
      </w:r>
      <w:r>
        <w:t xml:space="preserve">programme. </w:t>
      </w:r>
      <w:r w:rsidRPr="007C7D46">
        <w:t xml:space="preserve">In accordance with Article 55(3) CPR, when declaring the hours </w:t>
      </w:r>
      <w:proofErr w:type="gramStart"/>
      <w:r w:rsidRPr="007C7D46">
        <w:t>actually worked</w:t>
      </w:r>
      <w:proofErr w:type="gramEnd"/>
      <w:r w:rsidRPr="007C7D46">
        <w:t xml:space="preserve">, these cannot exceed the hours used in the calculation method based on point </w:t>
      </w:r>
      <w:r w:rsidR="00C64EE9">
        <w:t>(</w:t>
      </w:r>
      <w:r w:rsidRPr="007C7D46">
        <w:t>a</w:t>
      </w:r>
      <w:r w:rsidR="00C64EE9">
        <w:t>)</w:t>
      </w:r>
      <w:r w:rsidRPr="007C7D46">
        <w:t xml:space="preserve"> and </w:t>
      </w:r>
      <w:r w:rsidR="00C64EE9">
        <w:t>(</w:t>
      </w:r>
      <w:r w:rsidRPr="007C7D46">
        <w:t>b</w:t>
      </w:r>
      <w:r w:rsidR="00C64EE9">
        <w:t>)</w:t>
      </w:r>
      <w:r w:rsidRPr="007C7D46">
        <w:t xml:space="preserve"> of Article 55(2) CPR.</w:t>
      </w:r>
    </w:p>
    <w:p w14:paraId="76104080" w14:textId="77B08085" w:rsidR="007C7D46" w:rsidRDefault="007C7D46" w:rsidP="007C7D46">
      <w:r w:rsidRPr="6AED027F">
        <w:rPr>
          <w:rFonts w:cs="Calibri"/>
        </w:rPr>
        <w:t>This means that, where 1720 has been used as the denominator, the hours declared cannot exceed 1720</w:t>
      </w:r>
      <w:r w:rsidR="00C64EE9">
        <w:rPr>
          <w:rFonts w:cs="Calibri"/>
        </w:rPr>
        <w:t xml:space="preserve">, the latter </w:t>
      </w:r>
      <w:r w:rsidRPr="6AED027F">
        <w:rPr>
          <w:rFonts w:cs="Calibri"/>
        </w:rPr>
        <w:t xml:space="preserve">constitute a maximum of hours that can be declared for working in an operation for a period of 12 months. If a pro-rata of 1720 was used as a denominator, the same principle applies (e.g., for staff with a part-time contract of 50% the denominator would be 860 hours; thus, 860 is the maximum number of hours that can be </w:t>
      </w:r>
      <w:r w:rsidRPr="6AED027F">
        <w:rPr>
          <w:rFonts w:cs="Calibri"/>
        </w:rPr>
        <w:lastRenderedPageBreak/>
        <w:t>declared for the concerned staff</w:t>
      </w:r>
      <w:r w:rsidR="00C310E1">
        <w:rPr>
          <w:rFonts w:cs="Calibri"/>
        </w:rPr>
        <w:t>)</w:t>
      </w:r>
      <w:r w:rsidRPr="6AED027F">
        <w:rPr>
          <w:rFonts w:cs="Calibri"/>
        </w:rPr>
        <w:t>. For staff assigned to several operations, the capping applies pro-rata for each operation, respectively.</w:t>
      </w:r>
    </w:p>
    <w:p w14:paraId="003FF373" w14:textId="2F1F85D6" w:rsidR="00CB2532" w:rsidRDefault="17B71D2C" w:rsidP="007C7D46">
      <w:r>
        <w:t>When applying the calculated hourly rate, the total number of hours declared per person for the month (which</w:t>
      </w:r>
      <w:r w:rsidR="52A09EB0">
        <w:t>,</w:t>
      </w:r>
      <w:r>
        <w:t xml:space="preserve"> </w:t>
      </w:r>
      <w:r w:rsidR="33E7EADF">
        <w:t>in the case of Article 55(2)(b) CPR</w:t>
      </w:r>
      <w:r w:rsidR="52A09EB0">
        <w:t xml:space="preserve">, </w:t>
      </w:r>
      <w:r>
        <w:t xml:space="preserve">do not necessarily need to be the number of hours </w:t>
      </w:r>
      <w:proofErr w:type="gramStart"/>
      <w:r>
        <w:t>actually worked</w:t>
      </w:r>
      <w:proofErr w:type="gramEnd"/>
      <w:r>
        <w:t>) cannot exceed the number of hours used for the calculation of that hourly rate, as provided in Article 55(3) CPR.</w:t>
      </w:r>
      <w:r w:rsidR="4F46C06F">
        <w:t xml:space="preserve"> </w:t>
      </w:r>
    </w:p>
    <w:p w14:paraId="441638A5" w14:textId="45F7237D" w:rsidR="00CB2532" w:rsidRDefault="64BA82D0" w:rsidP="007C7D46">
      <w:r>
        <w:t xml:space="preserve">In the </w:t>
      </w:r>
      <w:r>
        <w:t xml:space="preserve">case that the hourly rate is calculated based on Article 55(2)(a) CPR, only the hours worked should be used for calculating </w:t>
      </w:r>
      <w:r w:rsidR="6633FE8A">
        <w:t>and declaring the eligible staff costs.</w:t>
      </w:r>
      <w:r w:rsidR="5D39001A">
        <w:t xml:space="preserve"> Annual leave, for instance, if eligible, is already included in the calculation of the hourly rate. Sick leave may be declared as staff costs if the related costs are borne by the beneficiary (i.e., they are incurred by the beneficiary). If the costs are covered by a third party (e.g., long-term sick leave for which the costs are covered by the social security system) or in the case of unpaid leave or absences (e.g. unjustified absences) for which there are no costs incurred by the beneficiary, </w:t>
      </w:r>
      <w:r w:rsidR="5D39001A" w:rsidRPr="00ED7CF5">
        <w:rPr>
          <w:b/>
          <w:bCs/>
          <w:color w:val="4472C4" w:themeColor="accent1"/>
        </w:rPr>
        <w:t>the corresponding hours/days not worked should not be taken into account for determining the eligible staff costs that can be declared.</w:t>
      </w:r>
      <w:r w:rsidR="5D39001A">
        <w:t xml:space="preserve"> This is because in these cases, there are no costs incurred by the beneficiary. However, in case there are staff costs for additional staff replacing the person on sick leave (or other type of leave) these staff costs are eligible (i.e., the corresponding hours worked are counted for calculating then eligible staff costs).  </w:t>
      </w:r>
    </w:p>
    <w:p w14:paraId="6BC64A63" w14:textId="7B2B6BA7" w:rsidR="001527D8" w:rsidRPr="007C7D46" w:rsidRDefault="00925444" w:rsidP="34B85490">
      <w:r>
        <w:rPr>
          <w:rFonts w:eastAsiaTheme="majorEastAsia" w:cstheme="minorHAnsi"/>
          <w:b/>
          <w:bCs/>
          <w:noProof/>
          <w:color w:val="2F5496" w:themeColor="accent1" w:themeShade="BF"/>
          <w:shd w:val="clear" w:color="auto" w:fill="E6E6E6"/>
        </w:rPr>
        <w:drawing>
          <wp:anchor distT="0" distB="0" distL="114300" distR="114300" simplePos="0" relativeHeight="251719168" behindDoc="0" locked="0" layoutInCell="1" allowOverlap="1" wp14:anchorId="66C45509" wp14:editId="54DCE1C9">
            <wp:simplePos x="0" y="0"/>
            <wp:positionH relativeFrom="margin">
              <wp:align>left</wp:align>
            </wp:positionH>
            <wp:positionV relativeFrom="paragraph">
              <wp:posOffset>10822</wp:posOffset>
            </wp:positionV>
            <wp:extent cx="390525" cy="390525"/>
            <wp:effectExtent l="0" t="0" r="9525" b="9525"/>
            <wp:wrapSquare wrapText="bothSides"/>
            <wp:docPr id="22" name="Graphic 22" descr="Thumbs up sign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Thumbs up sign outline"/>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90525" cy="390525"/>
                    </a:xfrm>
                    <a:prstGeom prst="rect">
                      <a:avLst/>
                    </a:prstGeom>
                  </pic:spPr>
                </pic:pic>
              </a:graphicData>
            </a:graphic>
            <wp14:sizeRelH relativeFrom="margin">
              <wp14:pctWidth>0</wp14:pctWidth>
            </wp14:sizeRelH>
            <wp14:sizeRelV relativeFrom="margin">
              <wp14:pctHeight>0</wp14:pctHeight>
            </wp14:sizeRelV>
          </wp:anchor>
        </w:drawing>
      </w:r>
      <w:r w:rsidR="7B59BEA5">
        <w:t xml:space="preserve">When the 1720-hour rule is used, the resulting amount for the hourly rate is to be considered a unit cost. This unit cost can be used for reimbursing expenditure for staff costs, </w:t>
      </w:r>
      <w:r w:rsidR="06419D40">
        <w:t xml:space="preserve">and </w:t>
      </w:r>
      <w:r w:rsidR="7B59BEA5">
        <w:t xml:space="preserve">it can </w:t>
      </w:r>
      <w:proofErr w:type="gramStart"/>
      <w:r w:rsidR="06419D40">
        <w:t xml:space="preserve">constitute </w:t>
      </w:r>
      <w:r w:rsidR="004844BA">
        <w:t>also</w:t>
      </w:r>
      <w:proofErr w:type="gramEnd"/>
      <w:r w:rsidR="004844BA">
        <w:t xml:space="preserve"> </w:t>
      </w:r>
      <w:r w:rsidR="06419D40">
        <w:t>the basis for calculating</w:t>
      </w:r>
      <w:r w:rsidR="7B59BEA5">
        <w:t xml:space="preserve"> all indirect costs (for example by applying the 15% flat rate in accordance with point (b) of the first subparagraph of Article 54 CPR) or even for calculating all the other remaining eligible costs (by applying the 40% flat rate in accordance with Article 56(1) CPR). </w:t>
      </w:r>
      <w:r w:rsidR="001527D8">
        <w:t xml:space="preserve">In the case of a project implemented over several years, the managing authority may choose to </w:t>
      </w:r>
      <w:r w:rsidR="001527D8" w:rsidRPr="002F7680">
        <w:rPr>
          <w:b/>
          <w:bCs/>
          <w:color w:val="4472C4" w:themeColor="accent1"/>
        </w:rPr>
        <w:t>update the hourly rate for direct staff costs</w:t>
      </w:r>
      <w:r w:rsidR="001527D8" w:rsidRPr="001527D8">
        <w:t xml:space="preserve"> once new data are available or to use the same ones for the entire implementing period. If the implementation period is particularly long, a good practice would be to set out intermediary steps when and how the hourly rate for staff cost could be revised.</w:t>
      </w:r>
    </w:p>
    <w:p w14:paraId="771D388C" w14:textId="73782AE6" w:rsidR="00B32403" w:rsidRDefault="00F84164" w:rsidP="00F84164">
      <w:pPr>
        <w:pStyle w:val="Style3"/>
      </w:pPr>
      <w:r w:rsidRPr="00F84164">
        <w:t>Staff working part-time on the operation with fixed time per month</w:t>
      </w:r>
      <w:r>
        <w:t>, Article 55(5) CPR</w:t>
      </w:r>
    </w:p>
    <w:p w14:paraId="20B545C2" w14:textId="3F212C78" w:rsidR="00641DAD" w:rsidRPr="002439BF" w:rsidRDefault="000051C9" w:rsidP="002F7680">
      <w:r w:rsidRPr="000051C9">
        <w:t xml:space="preserve">Where employees work part-time on an assignment but with a fixed percentage of time per month, Article 55(5) CPR provides that there is no obligation to establish a separate working time registration system. However, the employer is required to issue a document setting out the </w:t>
      </w:r>
      <w:r w:rsidRPr="00A47A48">
        <w:rPr>
          <w:b/>
          <w:bCs/>
          <w:color w:val="4472C4" w:themeColor="accent1"/>
        </w:rPr>
        <w:t>fixed percentage</w:t>
      </w:r>
      <w:r w:rsidRPr="00A47A48">
        <w:rPr>
          <w:color w:val="4472C4" w:themeColor="accent1"/>
        </w:rPr>
        <w:t xml:space="preserve"> </w:t>
      </w:r>
      <w:r w:rsidRPr="000051C9">
        <w:t xml:space="preserve">of time worked on the operation per month and this percentage can be used to calculate the eligible direct staff costs. This percentage may also be fixed in the employment contract. For example, if a person works 60% of their time on a project, the eligible direct staff costs for that person can be calculated by multiplying the gross employment costs (based either on real costs or a calculated unit cost) by 60%. </w:t>
      </w:r>
      <w:bookmarkStart w:id="25" w:name="_Hlk162871147"/>
    </w:p>
    <w:p w14:paraId="4325C014" w14:textId="1C97BCD3" w:rsidR="00EB435C" w:rsidRDefault="7BADAD2B" w:rsidP="00B32403">
      <w:pPr>
        <w:pStyle w:val="Heading2"/>
        <w:numPr>
          <w:ilvl w:val="1"/>
          <w:numId w:val="10"/>
        </w:numPr>
        <w:rPr>
          <w:b/>
          <w:bCs/>
          <w:color w:val="4472C4" w:themeColor="accent1"/>
        </w:rPr>
      </w:pPr>
      <w:bookmarkStart w:id="26" w:name="_Toc168350304"/>
      <w:bookmarkEnd w:id="25"/>
      <w:r w:rsidRPr="114B0701">
        <w:rPr>
          <w:b/>
          <w:bCs/>
          <w:color w:val="4472C4" w:themeColor="accent1"/>
        </w:rPr>
        <w:t>Lump sums</w:t>
      </w:r>
      <w:bookmarkEnd w:id="26"/>
    </w:p>
    <w:p w14:paraId="6D16428C" w14:textId="4BB01DEF" w:rsidR="002F7680" w:rsidRPr="002F7680" w:rsidRDefault="7B831C70" w:rsidP="002F7680">
      <w:r>
        <w:t>Lump sums can be used at both reimbursement levels, i.e., at upper</w:t>
      </w:r>
      <w:r w:rsidR="0017D430">
        <w:t xml:space="preserve"> level</w:t>
      </w:r>
      <w:r>
        <w:t xml:space="preserve"> for the reimbursement of the Union contribution (Article 51(d) CPR) and at lower level for grants provided by the Member State to the beneficiary (Article 53(1)(c) CPR).</w:t>
      </w:r>
    </w:p>
    <w:p w14:paraId="18D558E5" w14:textId="0D00E2C1" w:rsidR="00EA2F1E" w:rsidRPr="00736D3A" w:rsidRDefault="00736D3A" w:rsidP="00736D3A">
      <w:pPr>
        <w:pStyle w:val="Heading3"/>
        <w:rPr>
          <w:color w:val="4472C4" w:themeColor="accent1"/>
        </w:rPr>
      </w:pPr>
      <w:bookmarkStart w:id="27" w:name="_Toc168350305"/>
      <w:r w:rsidRPr="23C69889">
        <w:rPr>
          <w:color w:val="4472C4" w:themeColor="accent1"/>
        </w:rPr>
        <w:t>2.4.1.</w:t>
      </w:r>
      <w:r w:rsidR="6AA201CD" w:rsidRPr="23C69889">
        <w:rPr>
          <w:color w:val="4472C4" w:themeColor="accent1"/>
        </w:rPr>
        <w:t xml:space="preserve"> </w:t>
      </w:r>
      <w:r w:rsidR="00AE0DBF">
        <w:rPr>
          <w:color w:val="4472C4" w:themeColor="accent1"/>
        </w:rPr>
        <w:tab/>
      </w:r>
      <w:r w:rsidR="00EA2F1E" w:rsidRPr="23C69889">
        <w:rPr>
          <w:color w:val="4472C4" w:themeColor="accent1"/>
        </w:rPr>
        <w:t>General principles</w:t>
      </w:r>
      <w:bookmarkEnd w:id="27"/>
    </w:p>
    <w:p w14:paraId="303EAF68" w14:textId="054FDE7C" w:rsidR="00031EB9" w:rsidRPr="00031EB9" w:rsidRDefault="6F085545" w:rsidP="00031EB9">
      <w:r>
        <w:t xml:space="preserve">In the case of lump sums, all eligible costs or part of eligible costs of an operation or project are calculated </w:t>
      </w:r>
      <w:proofErr w:type="gramStart"/>
      <w:r>
        <w:t>on the basis of</w:t>
      </w:r>
      <w:proofErr w:type="gramEnd"/>
      <w:r>
        <w:t xml:space="preserve"> a</w:t>
      </w:r>
      <w:r w:rsidR="772BD453">
        <w:t xml:space="preserve">n </w:t>
      </w:r>
      <w:r>
        <w:t xml:space="preserve">amount </w:t>
      </w:r>
      <w:r w:rsidR="772BD453">
        <w:t xml:space="preserve">established in advance, </w:t>
      </w:r>
      <w:r>
        <w:t>duly justified by the managing authority, which is paid if predefined activities and/or outputs are completed.</w:t>
      </w:r>
    </w:p>
    <w:p w14:paraId="6FDBFA9A" w14:textId="37756D19" w:rsidR="00031EB9" w:rsidRPr="00031EB9" w:rsidRDefault="00031EB9" w:rsidP="00031EB9">
      <w:r w:rsidRPr="00031EB9">
        <w:lastRenderedPageBreak/>
        <w:t>Lump sums can be suitable in the case where standard scales of unit costs are not an appropriate solution</w:t>
      </w:r>
      <w:r w:rsidR="007A2DDA">
        <w:t xml:space="preserve"> because easily identifiable quantities are missing</w:t>
      </w:r>
      <w:r w:rsidRPr="00031EB9">
        <w:t xml:space="preserve">, </w:t>
      </w:r>
      <w:r w:rsidR="007A2DDA">
        <w:t xml:space="preserve">e.g., </w:t>
      </w:r>
      <w:proofErr w:type="gramStart"/>
      <w:r w:rsidR="007A2DDA">
        <w:t>for</w:t>
      </w:r>
      <w:r w:rsidRPr="00031EB9">
        <w:t xml:space="preserve"> the production of</w:t>
      </w:r>
      <w:proofErr w:type="gramEnd"/>
      <w:r w:rsidRPr="00031EB9">
        <w:t xml:space="preserve"> a toolkit, the organisation of a small local seminar, etc. </w:t>
      </w:r>
    </w:p>
    <w:p w14:paraId="3435AEDF" w14:textId="47131034" w:rsidR="00031EB9" w:rsidRDefault="009E097A" w:rsidP="000714BE">
      <w:pPr>
        <w:ind w:left="851"/>
      </w:pPr>
      <w:r>
        <w:rPr>
          <w:b/>
          <w:bCs/>
          <w:noProof/>
          <w:color w:val="4472C4" w:themeColor="accent1"/>
          <w:shd w:val="clear" w:color="auto" w:fill="E6E6E6"/>
        </w:rPr>
        <w:drawing>
          <wp:anchor distT="0" distB="0" distL="114300" distR="114300" simplePos="0" relativeHeight="251656704" behindDoc="0" locked="0" layoutInCell="1" allowOverlap="1" wp14:anchorId="27E642E2" wp14:editId="47A093F8">
            <wp:simplePos x="0" y="0"/>
            <wp:positionH relativeFrom="margin">
              <wp:posOffset>0</wp:posOffset>
            </wp:positionH>
            <wp:positionV relativeFrom="paragraph">
              <wp:posOffset>177165</wp:posOffset>
            </wp:positionV>
            <wp:extent cx="428625" cy="428625"/>
            <wp:effectExtent l="0" t="0" r="9525" b="0"/>
            <wp:wrapSquare wrapText="bothSides"/>
            <wp:docPr id="18" name="Graphic 18" descr="Blackboard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Blackboard outline"/>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432893" cy="432893"/>
                    </a:xfrm>
                    <a:prstGeom prst="rect">
                      <a:avLst/>
                    </a:prstGeom>
                  </pic:spPr>
                </pic:pic>
              </a:graphicData>
            </a:graphic>
            <wp14:sizeRelH relativeFrom="margin">
              <wp14:pctWidth>0</wp14:pctWidth>
            </wp14:sizeRelH>
            <wp14:sizeRelV relativeFrom="margin">
              <wp14:pctHeight>0</wp14:pctHeight>
            </wp14:sizeRelV>
          </wp:anchor>
        </w:drawing>
      </w:r>
      <w:r w:rsidR="00031EB9" w:rsidRPr="00031EB9">
        <w:t xml:space="preserve">In some cases, managing authorities might be dissuaded from using lump sums </w:t>
      </w:r>
      <w:proofErr w:type="gramStart"/>
      <w:r w:rsidR="00031EB9" w:rsidRPr="00031EB9">
        <w:t>due to the fact that</w:t>
      </w:r>
      <w:proofErr w:type="gramEnd"/>
      <w:r w:rsidR="00031EB9" w:rsidRPr="00031EB9">
        <w:t xml:space="preserve"> the deliverable is usually considered as achieved or not achieved, leading to a binary situation of payment or no payment depending on full achievement. </w:t>
      </w:r>
      <w:r w:rsidR="007A2DDA" w:rsidRPr="00E82DDB">
        <w:rPr>
          <w:b/>
          <w:bCs/>
          <w:color w:val="4472C4" w:themeColor="accent1"/>
        </w:rPr>
        <w:t>T</w:t>
      </w:r>
      <w:r w:rsidR="00031EB9" w:rsidRPr="00E82DDB">
        <w:rPr>
          <w:b/>
          <w:bCs/>
          <w:color w:val="4472C4" w:themeColor="accent1"/>
        </w:rPr>
        <w:t xml:space="preserve">his can be mitigated by including staged payments related to the achievement of certain pre-defined </w:t>
      </w:r>
      <w:r w:rsidR="001A53B4">
        <w:rPr>
          <w:b/>
          <w:bCs/>
          <w:color w:val="4472C4" w:themeColor="accent1"/>
        </w:rPr>
        <w:t xml:space="preserve">intermediary </w:t>
      </w:r>
      <w:r w:rsidR="00031EB9" w:rsidRPr="00E82DDB">
        <w:rPr>
          <w:b/>
          <w:bCs/>
          <w:color w:val="4472C4" w:themeColor="accent1"/>
        </w:rPr>
        <w:t>milestones</w:t>
      </w:r>
      <w:r w:rsidR="00031EB9" w:rsidRPr="00031EB9">
        <w:t xml:space="preserve">. </w:t>
      </w:r>
    </w:p>
    <w:p w14:paraId="4A5BE690" w14:textId="77777777" w:rsidR="004844BA" w:rsidRDefault="004844BA" w:rsidP="000714BE">
      <w:pPr>
        <w:ind w:left="851"/>
      </w:pPr>
    </w:p>
    <w:p w14:paraId="750DA6BC" w14:textId="77777777" w:rsidR="004844BA" w:rsidRDefault="004844BA" w:rsidP="000714BE">
      <w:pPr>
        <w:ind w:left="851"/>
      </w:pPr>
    </w:p>
    <w:tbl>
      <w:tblPr>
        <w:tblStyle w:val="GridTable4-Accent1"/>
        <w:tblW w:w="0" w:type="auto"/>
        <w:tblLook w:val="04A0" w:firstRow="1" w:lastRow="0" w:firstColumn="1" w:lastColumn="0" w:noHBand="0" w:noVBand="1"/>
      </w:tblPr>
      <w:tblGrid>
        <w:gridCol w:w="9016"/>
      </w:tblGrid>
      <w:tr w:rsidR="00CA5006" w14:paraId="3E88B133" w14:textId="77777777" w:rsidTr="00080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3C19A2D6" w14:textId="14B12BC3" w:rsidR="00CA5006" w:rsidRPr="00080D57" w:rsidRDefault="00CA5006" w:rsidP="000714BE">
            <w:r w:rsidRPr="00080D57">
              <w:t>Example 1: ERDF</w:t>
            </w:r>
          </w:p>
        </w:tc>
      </w:tr>
      <w:tr w:rsidR="00CA5006" w14:paraId="11712D9B" w14:textId="77777777" w:rsidTr="0008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115E79EC" w14:textId="77777777" w:rsidR="00CA5006" w:rsidRPr="00CA5006" w:rsidRDefault="00CA5006" w:rsidP="00CA5006">
            <w:pPr>
              <w:rPr>
                <w:b w:val="0"/>
                <w:bCs w:val="0"/>
              </w:rPr>
            </w:pPr>
            <w:proofErr w:type="gramStart"/>
            <w:r w:rsidRPr="00CA5006">
              <w:rPr>
                <w:b w:val="0"/>
                <w:bCs w:val="0"/>
              </w:rPr>
              <w:t>In order to</w:t>
            </w:r>
            <w:proofErr w:type="gramEnd"/>
            <w:r w:rsidRPr="00CA5006">
              <w:rPr>
                <w:b w:val="0"/>
                <w:bCs w:val="0"/>
              </w:rPr>
              <w:t xml:space="preserve"> promote local products, a group of small enterprises wishes to participate jointly in a commercial fair. </w:t>
            </w:r>
          </w:p>
          <w:p w14:paraId="1D02D9FB" w14:textId="1BEF9AAE" w:rsidR="00CA5006" w:rsidRDefault="00CA5006" w:rsidP="000714BE">
            <w:r w:rsidRPr="00CA5006">
              <w:rPr>
                <w:b w:val="0"/>
                <w:bCs w:val="0"/>
              </w:rPr>
              <w:t xml:space="preserve">Due to the low cost of the operation, the managing authority decides to use a lump sum for calculation of the public support. For this, the group of enterprises is invited to propose a budget for the costs of renting, setting up and running the stand. </w:t>
            </w:r>
            <w:proofErr w:type="gramStart"/>
            <w:r w:rsidRPr="00CA5006">
              <w:rPr>
                <w:b w:val="0"/>
                <w:bCs w:val="0"/>
              </w:rPr>
              <w:t>On the basis of</w:t>
            </w:r>
            <w:proofErr w:type="gramEnd"/>
            <w:r w:rsidRPr="00CA5006">
              <w:rPr>
                <w:b w:val="0"/>
                <w:bCs w:val="0"/>
              </w:rPr>
              <w:t xml:space="preserve"> this proposal, a lump sum of EUR 20 000 is established.</w:t>
            </w:r>
            <w:r w:rsidRPr="00CA5006">
              <w:t xml:space="preserve"> </w:t>
            </w:r>
            <w:r w:rsidRPr="00CA5006">
              <w:rPr>
                <w:b w:val="0"/>
                <w:bCs w:val="0"/>
              </w:rPr>
              <w:t>The payment</w:t>
            </w:r>
            <w:r w:rsidRPr="00CA5006">
              <w:t xml:space="preserve"> </w:t>
            </w:r>
            <w:r w:rsidRPr="00CA5006">
              <w:rPr>
                <w:b w:val="0"/>
                <w:bCs w:val="0"/>
              </w:rPr>
              <w:t xml:space="preserve">to the beneficiary will be made </w:t>
            </w:r>
            <w:proofErr w:type="gramStart"/>
            <w:r w:rsidRPr="00CA5006">
              <w:rPr>
                <w:b w:val="0"/>
                <w:bCs w:val="0"/>
              </w:rPr>
              <w:t>on the basis of</w:t>
            </w:r>
            <w:proofErr w:type="gramEnd"/>
            <w:r w:rsidRPr="00CA5006">
              <w:rPr>
                <w:b w:val="0"/>
                <w:bCs w:val="0"/>
              </w:rPr>
              <w:t xml:space="preserve"> </w:t>
            </w:r>
            <w:r w:rsidRPr="00472D99">
              <w:rPr>
                <w:color w:val="4472C4" w:themeColor="accent1"/>
              </w:rPr>
              <w:t>proof of participation at the fair</w:t>
            </w:r>
            <w:r w:rsidRPr="00CA5006">
              <w:rPr>
                <w:b w:val="0"/>
                <w:bCs w:val="0"/>
              </w:rPr>
              <w:t>. The agreed budget of EUR 20 000 should be kept for audits (verification of the ex-ante calculation of the lump sum).</w:t>
            </w:r>
          </w:p>
        </w:tc>
      </w:tr>
    </w:tbl>
    <w:p w14:paraId="05EBCD2F" w14:textId="77777777" w:rsidR="000714BE" w:rsidRPr="00CA5006" w:rsidRDefault="000714BE" w:rsidP="000714BE"/>
    <w:tbl>
      <w:tblPr>
        <w:tblStyle w:val="GridTable4-Accent1"/>
        <w:tblW w:w="0" w:type="auto"/>
        <w:tblLook w:val="04A0" w:firstRow="1" w:lastRow="0" w:firstColumn="1" w:lastColumn="0" w:noHBand="0" w:noVBand="1"/>
      </w:tblPr>
      <w:tblGrid>
        <w:gridCol w:w="9016"/>
      </w:tblGrid>
      <w:tr w:rsidR="00F44A1E" w14:paraId="3F003426" w14:textId="77777777" w:rsidTr="00F44A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19BE9253" w14:textId="2194CFA5" w:rsidR="00F44A1E" w:rsidRPr="00F44A1E" w:rsidRDefault="00F44A1E" w:rsidP="000714BE">
            <w:r w:rsidRPr="00F44A1E">
              <w:t>Example 2: ESF+</w:t>
            </w:r>
          </w:p>
        </w:tc>
      </w:tr>
      <w:tr w:rsidR="00F44A1E" w14:paraId="18B539C6" w14:textId="77777777" w:rsidTr="00F44A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DA0B679" w14:textId="77777777" w:rsidR="00F44A1E" w:rsidRPr="00F44A1E" w:rsidRDefault="00F44A1E" w:rsidP="00F44A1E">
            <w:pPr>
              <w:rPr>
                <w:b w:val="0"/>
                <w:bCs w:val="0"/>
              </w:rPr>
            </w:pPr>
            <w:r w:rsidRPr="00F44A1E">
              <w:rPr>
                <w:b w:val="0"/>
                <w:bCs w:val="0"/>
              </w:rPr>
              <w:t xml:space="preserve">An NGO managing childcare services requires support to launch a new activity. It includes a lump sum in its proposal by submitting a draft detailed budget to start the activity and run it over a period of one year. The activity would be maintained independently after the initial year. For example, the lump sum would cover expenditure related to the salary of one person in charge of looking after the children </w:t>
            </w:r>
            <w:proofErr w:type="gramStart"/>
            <w:r w:rsidRPr="00F44A1E">
              <w:rPr>
                <w:b w:val="0"/>
                <w:bCs w:val="0"/>
              </w:rPr>
              <w:t>during</w:t>
            </w:r>
            <w:proofErr w:type="gramEnd"/>
            <w:r w:rsidRPr="00F44A1E">
              <w:rPr>
                <w:b w:val="0"/>
                <w:bCs w:val="0"/>
              </w:rPr>
              <w:t xml:space="preserve"> one year, depreciation of new equipment, publicity costs linked to this new activity and indirect costs related to its management and accounting costs, water, electricity, heating, rental costs, etc.). </w:t>
            </w:r>
          </w:p>
          <w:p w14:paraId="698506E9" w14:textId="77777777" w:rsidR="00F44A1E" w:rsidRPr="00F44A1E" w:rsidRDefault="00F44A1E" w:rsidP="00F44A1E">
            <w:pPr>
              <w:rPr>
                <w:b w:val="0"/>
                <w:bCs w:val="0"/>
              </w:rPr>
            </w:pPr>
            <w:proofErr w:type="gramStart"/>
            <w:r w:rsidRPr="00F44A1E">
              <w:rPr>
                <w:b w:val="0"/>
                <w:bCs w:val="0"/>
              </w:rPr>
              <w:t>On the basis of</w:t>
            </w:r>
            <w:proofErr w:type="gramEnd"/>
            <w:r w:rsidRPr="00F44A1E">
              <w:rPr>
                <w:b w:val="0"/>
                <w:bCs w:val="0"/>
              </w:rPr>
              <w:t xml:space="preserve"> a draft detailed budget, the managing authority grants a lump sum of EUR 47 500 covering all these costs. At the end of the operation, this amount would be paid to the NGO on the basis of the </w:t>
            </w:r>
            <w:proofErr w:type="gramStart"/>
            <w:r w:rsidRPr="00F44A1E">
              <w:rPr>
                <w:b w:val="0"/>
                <w:bCs w:val="0"/>
              </w:rPr>
              <w:t>output;</w:t>
            </w:r>
            <w:proofErr w:type="gramEnd"/>
            <w:r w:rsidRPr="00F44A1E">
              <w:rPr>
                <w:b w:val="0"/>
                <w:bCs w:val="0"/>
              </w:rPr>
              <w:t xml:space="preserve"> if a conventional number of additional (10) children were looked after. It would therefore not be necessary to justify the real costs incurred in relation to this activity. </w:t>
            </w:r>
          </w:p>
          <w:p w14:paraId="05DD5FEA" w14:textId="78094F32" w:rsidR="00F44A1E" w:rsidRDefault="00F44A1E" w:rsidP="000714BE">
            <w:r w:rsidRPr="00F44A1E">
              <w:rPr>
                <w:color w:val="4472C4" w:themeColor="accent1"/>
              </w:rPr>
              <w:t>It means however that if only 9 children were looked after, the eligible costs would be zero and the lump sum amount would not be paid.</w:t>
            </w:r>
            <w:r w:rsidRPr="00F44A1E">
              <w:t xml:space="preserve"> </w:t>
            </w:r>
            <w:r w:rsidRPr="00F44A1E">
              <w:rPr>
                <w:b w:val="0"/>
                <w:bCs w:val="0"/>
              </w:rPr>
              <w:t xml:space="preserve">To mitigate this, a </w:t>
            </w:r>
            <w:r w:rsidRPr="00472D99">
              <w:rPr>
                <w:color w:val="4472C4" w:themeColor="accent1"/>
              </w:rPr>
              <w:t xml:space="preserve">milestone </w:t>
            </w:r>
            <w:r w:rsidRPr="00F44A1E">
              <w:rPr>
                <w:b w:val="0"/>
                <w:bCs w:val="0"/>
              </w:rPr>
              <w:t>could be stated in the document setting out the conditions for support that if 5 children are taken care of, half of the total amount (EUR 23 750) will be paid out.</w:t>
            </w:r>
          </w:p>
        </w:tc>
      </w:tr>
    </w:tbl>
    <w:p w14:paraId="5D410378" w14:textId="77777777" w:rsidR="00006A13" w:rsidRPr="00006A13" w:rsidRDefault="00006A13" w:rsidP="000714BE"/>
    <w:tbl>
      <w:tblPr>
        <w:tblStyle w:val="GridTable4-Accent1"/>
        <w:tblW w:w="0" w:type="auto"/>
        <w:tblLook w:val="04A0" w:firstRow="1" w:lastRow="0" w:firstColumn="1" w:lastColumn="0" w:noHBand="0" w:noVBand="1"/>
      </w:tblPr>
      <w:tblGrid>
        <w:gridCol w:w="9016"/>
      </w:tblGrid>
      <w:tr w:rsidR="00474AC6" w14:paraId="0C8ED7D4" w14:textId="77777777" w:rsidTr="00474A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73CFF8F6" w14:textId="130A84FC" w:rsidR="00474AC6" w:rsidRPr="00474AC6" w:rsidRDefault="00474AC6" w:rsidP="00D8149C">
            <w:r w:rsidRPr="00474AC6">
              <w:t>Example 3: ESF+</w:t>
            </w:r>
          </w:p>
        </w:tc>
      </w:tr>
      <w:tr w:rsidR="00474AC6" w14:paraId="4C21AFA8" w14:textId="77777777" w:rsidTr="00474A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4878176D" w14:textId="77777777" w:rsidR="00474AC6" w:rsidRPr="00474AC6" w:rsidRDefault="00474AC6" w:rsidP="00474AC6">
            <w:pPr>
              <w:rPr>
                <w:b w:val="0"/>
                <w:bCs w:val="0"/>
              </w:rPr>
            </w:pPr>
            <w:r w:rsidRPr="00474AC6">
              <w:rPr>
                <w:b w:val="0"/>
                <w:bCs w:val="0"/>
              </w:rPr>
              <w:t>An NGO seeks to organise a local seminar and to produce a toolkit on the socio-economic condition of the Roma community in a region of a Member State. The document setting out the conditions for support will contain a draft detailed budget and the objectives of the grant, (1) the organisation of the seminar and (2) the production of a toolkit to draw the attention of employers in the region to the specific problems faced by the Roma.</w:t>
            </w:r>
          </w:p>
          <w:p w14:paraId="42279A8C" w14:textId="77777777" w:rsidR="00474AC6" w:rsidRPr="00474AC6" w:rsidRDefault="00474AC6" w:rsidP="00474AC6">
            <w:pPr>
              <w:rPr>
                <w:b w:val="0"/>
                <w:bCs w:val="0"/>
              </w:rPr>
            </w:pPr>
            <w:r w:rsidRPr="00474AC6">
              <w:rPr>
                <w:b w:val="0"/>
                <w:bCs w:val="0"/>
              </w:rPr>
              <w:t>Due to the size and objective of the operation (small operation with costs not easily quantifiable via standard scales of unit costs) and the nature of the beneficiary (local NGO), the managing authority decides to use the lump sum arrangement.</w:t>
            </w:r>
          </w:p>
          <w:p w14:paraId="0460C08F" w14:textId="77777777" w:rsidR="00474AC6" w:rsidRPr="00474AC6" w:rsidRDefault="00474AC6" w:rsidP="00474AC6">
            <w:pPr>
              <w:rPr>
                <w:b w:val="0"/>
                <w:bCs w:val="0"/>
              </w:rPr>
            </w:pPr>
            <w:proofErr w:type="gramStart"/>
            <w:r w:rsidRPr="00474AC6">
              <w:rPr>
                <w:b w:val="0"/>
                <w:bCs w:val="0"/>
              </w:rPr>
              <w:lastRenderedPageBreak/>
              <w:t>In order to</w:t>
            </w:r>
            <w:proofErr w:type="gramEnd"/>
            <w:r w:rsidRPr="00474AC6">
              <w:rPr>
                <w:b w:val="0"/>
                <w:bCs w:val="0"/>
              </w:rPr>
              <w:t xml:space="preserve"> calculate the amount of the lump sum, the managing authority will require a draft detailed budget for each of the operations: after negotiation on the draft detailed budget, the lump sum is established at: EUR 45 000 split into two projects requiring EUR 25 000 for the seminar and EUR 20 000 for the toolkit.</w:t>
            </w:r>
          </w:p>
          <w:p w14:paraId="0EC7DD4F" w14:textId="00E4C864" w:rsidR="00474AC6" w:rsidRPr="00474AC6" w:rsidRDefault="00474AC6" w:rsidP="00474AC6">
            <w:pPr>
              <w:rPr>
                <w:b w:val="0"/>
                <w:bCs w:val="0"/>
              </w:rPr>
            </w:pPr>
            <w:r w:rsidRPr="00474AC6">
              <w:rPr>
                <w:b w:val="0"/>
                <w:bCs w:val="0"/>
              </w:rPr>
              <w:t xml:space="preserve">If the conditions of the document setting out the conditions for support are respected (organisation of the seminar, production of the toolkit), EUR 45 000 will be considered as eligible costs at closure. The supporting document will be </w:t>
            </w:r>
            <w:r w:rsidRPr="00472D99">
              <w:rPr>
                <w:color w:val="4472C4" w:themeColor="accent1"/>
              </w:rPr>
              <w:t xml:space="preserve">the proof that the seminar was </w:t>
            </w:r>
            <w:proofErr w:type="gramStart"/>
            <w:r w:rsidRPr="00472D99">
              <w:rPr>
                <w:color w:val="4472C4" w:themeColor="accent1"/>
              </w:rPr>
              <w:t>organised</w:t>
            </w:r>
            <w:proofErr w:type="gramEnd"/>
            <w:r w:rsidRPr="00472D99">
              <w:rPr>
                <w:color w:val="4472C4" w:themeColor="accent1"/>
              </w:rPr>
              <w:t xml:space="preserve"> and the final complete toolkit produced</w:t>
            </w:r>
            <w:r w:rsidRPr="00474AC6">
              <w:rPr>
                <w:b w:val="0"/>
                <w:bCs w:val="0"/>
              </w:rPr>
              <w:t xml:space="preserve">. </w:t>
            </w:r>
          </w:p>
          <w:p w14:paraId="5EFA8734" w14:textId="4173F54B" w:rsidR="00474AC6" w:rsidRDefault="00474AC6" w:rsidP="00D8149C">
            <w:r w:rsidRPr="00474AC6">
              <w:rPr>
                <w:b w:val="0"/>
                <w:bCs w:val="0"/>
              </w:rPr>
              <w:t>If only one of the projects (for example the seminar) is carried out, the grant will be reduced to this part (EUR 25 000), depending on what was agreed in the document setting out the conditions for support.</w:t>
            </w:r>
          </w:p>
        </w:tc>
      </w:tr>
    </w:tbl>
    <w:p w14:paraId="36E8055D" w14:textId="77777777" w:rsidR="00474AC6" w:rsidRDefault="00474AC6" w:rsidP="00474AC6">
      <w:pPr>
        <w:rPr>
          <w:b/>
          <w:bCs/>
        </w:rPr>
      </w:pPr>
    </w:p>
    <w:tbl>
      <w:tblPr>
        <w:tblStyle w:val="GridTable4-Accent1"/>
        <w:tblW w:w="0" w:type="auto"/>
        <w:tblLook w:val="04A0" w:firstRow="1" w:lastRow="0" w:firstColumn="1" w:lastColumn="0" w:noHBand="0" w:noVBand="1"/>
      </w:tblPr>
      <w:tblGrid>
        <w:gridCol w:w="9016"/>
      </w:tblGrid>
      <w:tr w:rsidR="00474AC6" w14:paraId="0F9A94C6" w14:textId="77777777" w:rsidTr="3728CE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3D736947" w14:textId="26101F87" w:rsidR="00474AC6" w:rsidRDefault="00474AC6" w:rsidP="00474AC6">
            <w:r>
              <w:t>Example 4: EMFAF</w:t>
            </w:r>
          </w:p>
        </w:tc>
      </w:tr>
      <w:tr w:rsidR="00474AC6" w14:paraId="104B524D" w14:textId="77777777" w:rsidTr="3728CE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2CFE248F" w14:textId="4A531CA3" w:rsidR="00474AC6" w:rsidRPr="00474AC6" w:rsidRDefault="5749E457" w:rsidP="3728CE6D">
            <w:pPr>
              <w:spacing w:before="0" w:after="0"/>
              <w:rPr>
                <w:rFonts w:ascii="Calibri" w:eastAsia="Calibri" w:hAnsi="Calibri" w:cs="Calibri"/>
                <w:b w:val="0"/>
                <w:bCs w:val="0"/>
              </w:rPr>
            </w:pPr>
            <w:r w:rsidRPr="3728CE6D">
              <w:rPr>
                <w:rFonts w:ascii="Calibri" w:eastAsia="Calibri" w:hAnsi="Calibri" w:cs="Calibri"/>
                <w:b w:val="0"/>
                <w:bCs w:val="0"/>
              </w:rPr>
              <w:t xml:space="preserve">Support for the preparation and implementation of production and marketing plans of Producer Organisations (POs). </w:t>
            </w:r>
          </w:p>
          <w:p w14:paraId="63501539" w14:textId="055B4B3D" w:rsidR="00474AC6" w:rsidRPr="00474AC6" w:rsidRDefault="00474AC6" w:rsidP="3728CE6D">
            <w:pPr>
              <w:spacing w:before="0" w:after="0"/>
              <w:rPr>
                <w:rFonts w:ascii="Calibri" w:eastAsia="Calibri" w:hAnsi="Calibri" w:cs="Calibri"/>
                <w:b w:val="0"/>
                <w:bCs w:val="0"/>
              </w:rPr>
            </w:pPr>
          </w:p>
          <w:p w14:paraId="384A2A73" w14:textId="196773BE" w:rsidR="00474AC6" w:rsidRPr="00474AC6" w:rsidRDefault="5749E457" w:rsidP="3728CE6D">
            <w:pPr>
              <w:spacing w:before="0" w:after="0"/>
              <w:rPr>
                <w:b w:val="0"/>
                <w:bCs w:val="0"/>
              </w:rPr>
            </w:pPr>
            <w:r w:rsidRPr="3728CE6D">
              <w:rPr>
                <w:rFonts w:ascii="Calibri" w:eastAsia="Calibri" w:hAnsi="Calibri" w:cs="Calibri"/>
                <w:b w:val="0"/>
                <w:bCs w:val="0"/>
              </w:rPr>
              <w:t>The lump sum (payable when the annual report on the implementation of the plan is approved) is based on historical data (POs’ previous submissions of hours and other costs).</w:t>
            </w:r>
            <w:r w:rsidR="61B41836" w:rsidRPr="3728CE6D">
              <w:rPr>
                <w:rFonts w:ascii="Calibri" w:eastAsia="Calibri" w:hAnsi="Calibri" w:cs="Calibri"/>
                <w:b w:val="0"/>
                <w:bCs w:val="0"/>
              </w:rPr>
              <w:t xml:space="preserve"> </w:t>
            </w:r>
            <w:r w:rsidRPr="3728CE6D">
              <w:rPr>
                <w:rFonts w:ascii="Calibri" w:eastAsia="Calibri" w:hAnsi="Calibri" w:cs="Calibri"/>
                <w:b w:val="0"/>
                <w:bCs w:val="0"/>
              </w:rPr>
              <w:t>PMPs’ preparation and implementation may be divided into various activities to produce an average cost, which is then multiplied by the applicable aid intensity.</w:t>
            </w:r>
            <w:r w:rsidRPr="3728CE6D">
              <w:rPr>
                <w:b w:val="0"/>
                <w:bCs w:val="0"/>
              </w:rPr>
              <w:t xml:space="preserve"> </w:t>
            </w:r>
          </w:p>
        </w:tc>
      </w:tr>
    </w:tbl>
    <w:p w14:paraId="5921DBE3" w14:textId="77777777" w:rsidR="004844BA" w:rsidRDefault="004844BA" w:rsidP="004844BA">
      <w:pPr>
        <w:pStyle w:val="Heading2"/>
        <w:rPr>
          <w:b/>
          <w:bCs/>
          <w:color w:val="4472C4" w:themeColor="accent1"/>
        </w:rPr>
      </w:pPr>
    </w:p>
    <w:p w14:paraId="105D831A" w14:textId="092B31CB" w:rsidR="00EB435C" w:rsidRPr="004E6DE3" w:rsidRDefault="7BADAD2B" w:rsidP="00B32403">
      <w:pPr>
        <w:pStyle w:val="Heading2"/>
        <w:numPr>
          <w:ilvl w:val="1"/>
          <w:numId w:val="10"/>
        </w:numPr>
        <w:rPr>
          <w:b/>
          <w:bCs/>
          <w:color w:val="4472C4" w:themeColor="accent1"/>
        </w:rPr>
      </w:pPr>
      <w:bookmarkStart w:id="28" w:name="_Toc168350306"/>
      <w:r w:rsidRPr="114B0701">
        <w:rPr>
          <w:b/>
          <w:bCs/>
          <w:color w:val="4472C4" w:themeColor="accent1"/>
        </w:rPr>
        <w:t>Combination of simplified cost options</w:t>
      </w:r>
      <w:bookmarkEnd w:id="28"/>
    </w:p>
    <w:p w14:paraId="3DAE6D48" w14:textId="568F1029" w:rsidR="00EA4AF6" w:rsidRPr="00EA4AF6" w:rsidRDefault="24672E60" w:rsidP="3728CE6D">
      <w:r>
        <w:t xml:space="preserve">Article 53(1) CPR </w:t>
      </w:r>
      <w:r w:rsidR="0141081C">
        <w:t>offers</w:t>
      </w:r>
      <w:r>
        <w:t xml:space="preserve">   managing authorit</w:t>
      </w:r>
      <w:r w:rsidR="30D9FA54">
        <w:t>ies</w:t>
      </w:r>
      <w:r>
        <w:t xml:space="preserve"> </w:t>
      </w:r>
      <w:r w:rsidR="1C188B92">
        <w:t xml:space="preserve">the possibility </w:t>
      </w:r>
      <w:r>
        <w:t>to choose between five options to manage grants under the CPR.</w:t>
      </w:r>
      <w:r w:rsidR="0BDCE2DF">
        <w:t xml:space="preserve"> </w:t>
      </w:r>
      <w:r>
        <w:t>In accordance with Article 53(1)(e) CPR, these options may be combined</w:t>
      </w:r>
      <w:r w:rsidR="1A5D2F36">
        <w:t xml:space="preserve"> in the same operation</w:t>
      </w:r>
      <w:r>
        <w:t xml:space="preserve"> only in the following cases to </w:t>
      </w:r>
      <w:r w:rsidRPr="3728CE6D">
        <w:rPr>
          <w:b/>
          <w:bCs/>
          <w:color w:val="4472C4" w:themeColor="accent1"/>
        </w:rPr>
        <w:t xml:space="preserve">prevent any double financing of the same </w:t>
      </w:r>
      <w:r w:rsidR="57FBFEE5" w:rsidRPr="3728CE6D">
        <w:rPr>
          <w:b/>
          <w:bCs/>
          <w:color w:val="4472C4" w:themeColor="accent1"/>
        </w:rPr>
        <w:t>cost category</w:t>
      </w:r>
      <w:r>
        <w:t>:</w:t>
      </w:r>
    </w:p>
    <w:p w14:paraId="7FAFC21D" w14:textId="51C0EB77" w:rsidR="00EA4AF6" w:rsidRPr="00EA4AF6" w:rsidRDefault="00EA4AF6" w:rsidP="00EA4AF6">
      <w:pPr>
        <w:ind w:left="851"/>
      </w:pPr>
      <w:r w:rsidRPr="00EA4AF6">
        <w:t xml:space="preserve">(1) </w:t>
      </w:r>
      <w:r w:rsidR="00D65031">
        <w:t>t</w:t>
      </w:r>
      <w:r w:rsidRPr="00EA4AF6">
        <w:t>hey must each cover different categories of eligible costs; or</w:t>
      </w:r>
    </w:p>
    <w:p w14:paraId="14B6E134" w14:textId="77777777" w:rsidR="00EA4AF6" w:rsidRPr="00EA4AF6" w:rsidRDefault="00EA4AF6" w:rsidP="00EA4AF6">
      <w:pPr>
        <w:ind w:left="851"/>
      </w:pPr>
      <w:r w:rsidRPr="00EA4AF6">
        <w:t>(2) they must be used for different projects in the same operation; or</w:t>
      </w:r>
    </w:p>
    <w:p w14:paraId="46EA355F" w14:textId="77777777" w:rsidR="00EA4AF6" w:rsidRPr="00EA4AF6" w:rsidRDefault="00EA4AF6" w:rsidP="00EA4AF6">
      <w:pPr>
        <w:ind w:left="851"/>
      </w:pPr>
      <w:r w:rsidRPr="00EA4AF6">
        <w:t xml:space="preserve">(3) they must be used for successive phases of an operation. </w:t>
      </w:r>
    </w:p>
    <w:p w14:paraId="50919BD1" w14:textId="09DE73A0" w:rsidR="00EA4AF6" w:rsidRPr="00EA4AF6" w:rsidRDefault="00EA4AF6" w:rsidP="00EA4AF6">
      <w:r w:rsidRPr="00EA4AF6">
        <w:t xml:space="preserve">Simplified cost options can be used in the same operation together with costs declared as real costs or costs reimbursed based on another SCO. </w:t>
      </w:r>
    </w:p>
    <w:p w14:paraId="64A3169E" w14:textId="7D138DDE" w:rsidR="00EA4AF6" w:rsidRDefault="00EA4AF6" w:rsidP="00EA4AF6">
      <w:r w:rsidRPr="00EA4AF6">
        <w:t>For example, an amount calculated as a flat rate can be used as a basis for another flat rate: a flat rate of up to 15% to reimburse indirect costs can be applied to direct staff costs calculated as a flat rate of up to 20% of the direct costs (other than direct staff costs).</w:t>
      </w:r>
    </w:p>
    <w:p w14:paraId="27FB5D73" w14:textId="076671BC" w:rsidR="00AB2D4E" w:rsidRDefault="00AB2D4E" w:rsidP="00AB2D4E">
      <w:pPr>
        <w:rPr>
          <w:b/>
          <w:bCs/>
          <w:color w:val="4472C4" w:themeColor="accent1"/>
        </w:rPr>
      </w:pPr>
    </w:p>
    <w:tbl>
      <w:tblPr>
        <w:tblStyle w:val="GridTable4-Accent1"/>
        <w:tblW w:w="0" w:type="auto"/>
        <w:tblLook w:val="04A0" w:firstRow="1" w:lastRow="0" w:firstColumn="1" w:lastColumn="0" w:noHBand="0" w:noVBand="1"/>
      </w:tblPr>
      <w:tblGrid>
        <w:gridCol w:w="9016"/>
      </w:tblGrid>
      <w:tr w:rsidR="00265C2F" w14:paraId="51F3E0AE" w14:textId="77777777" w:rsidTr="00265C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397B8040" w14:textId="701F223E" w:rsidR="00265C2F" w:rsidRPr="00265C2F" w:rsidRDefault="00265C2F" w:rsidP="00AB2D4E">
            <w:r w:rsidRPr="00A6454D">
              <w:t>Example 1:</w:t>
            </w:r>
            <w:r>
              <w:t xml:space="preserve"> </w:t>
            </w:r>
            <w:r w:rsidRPr="00A6454D">
              <w:t>Funding of different projects forming part of the same operation (ESF +)</w:t>
            </w:r>
          </w:p>
        </w:tc>
      </w:tr>
      <w:tr w:rsidR="00265C2F" w14:paraId="44473CE1" w14:textId="77777777" w:rsidTr="00265C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135EC86" w14:textId="77777777" w:rsidR="00265C2F" w:rsidRPr="00265C2F" w:rsidRDefault="00265C2F" w:rsidP="00265C2F">
            <w:pPr>
              <w:rPr>
                <w:b w:val="0"/>
                <w:bCs w:val="0"/>
              </w:rPr>
            </w:pPr>
            <w:r w:rsidRPr="00265C2F">
              <w:rPr>
                <w:b w:val="0"/>
                <w:bCs w:val="0"/>
              </w:rPr>
              <w:t>Example of an operation involving a training project for young unemployed people, followed by a seminar for potential employers of the region:</w:t>
            </w:r>
          </w:p>
          <w:p w14:paraId="0CBF6EF4" w14:textId="77777777" w:rsidR="00265C2F" w:rsidRPr="00265C2F" w:rsidRDefault="00265C2F" w:rsidP="00265C2F">
            <w:pPr>
              <w:rPr>
                <w:b w:val="0"/>
                <w:bCs w:val="0"/>
              </w:rPr>
            </w:pPr>
            <w:r w:rsidRPr="00265C2F">
              <w:rPr>
                <w:b w:val="0"/>
                <w:bCs w:val="0"/>
              </w:rPr>
              <w:t xml:space="preserve">The costs related to the training could be paid </w:t>
            </w:r>
            <w:proofErr w:type="gramStart"/>
            <w:r w:rsidRPr="00265C2F">
              <w:rPr>
                <w:b w:val="0"/>
                <w:bCs w:val="0"/>
              </w:rPr>
              <w:t>on the basis of</w:t>
            </w:r>
            <w:proofErr w:type="gramEnd"/>
            <w:r w:rsidRPr="00265C2F">
              <w:rPr>
                <w:b w:val="0"/>
                <w:bCs w:val="0"/>
              </w:rPr>
              <w:t xml:space="preserve"> standard scales of unit costs (for example EUR 1 000 / day of training). The seminar would be paid </w:t>
            </w:r>
            <w:proofErr w:type="gramStart"/>
            <w:r w:rsidRPr="00265C2F">
              <w:rPr>
                <w:b w:val="0"/>
                <w:bCs w:val="0"/>
              </w:rPr>
              <w:t>on the basis of</w:t>
            </w:r>
            <w:proofErr w:type="gramEnd"/>
            <w:r w:rsidRPr="00265C2F">
              <w:rPr>
                <w:b w:val="0"/>
                <w:bCs w:val="0"/>
              </w:rPr>
              <w:t xml:space="preserve"> lump sums.</w:t>
            </w:r>
          </w:p>
          <w:p w14:paraId="13FF4D5A" w14:textId="6D6F5E02" w:rsidR="00265C2F" w:rsidRDefault="00265C2F" w:rsidP="00AB2D4E">
            <w:r w:rsidRPr="00265C2F">
              <w:rPr>
                <w:b w:val="0"/>
                <w:bCs w:val="0"/>
              </w:rPr>
              <w:t>Given that there are two different projects forming part of the same operation, there is no risk of double financing as each project’s costs are clearly separated.</w:t>
            </w:r>
          </w:p>
        </w:tc>
      </w:tr>
    </w:tbl>
    <w:p w14:paraId="097C3607" w14:textId="77777777" w:rsidR="00AB2D4E" w:rsidRPr="00265C2F" w:rsidRDefault="00AB2D4E" w:rsidP="00AB2D4E"/>
    <w:tbl>
      <w:tblPr>
        <w:tblStyle w:val="GridTable4-Accent1"/>
        <w:tblW w:w="0" w:type="auto"/>
        <w:tblLook w:val="04A0" w:firstRow="1" w:lastRow="0" w:firstColumn="1" w:lastColumn="0" w:noHBand="0" w:noVBand="1"/>
      </w:tblPr>
      <w:tblGrid>
        <w:gridCol w:w="9016"/>
      </w:tblGrid>
      <w:tr w:rsidR="003D09C4" w14:paraId="23A9F87F" w14:textId="77777777" w:rsidTr="404BE4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5146C96B" w14:textId="38F35E37" w:rsidR="003D09C4" w:rsidRPr="003D09C4" w:rsidRDefault="003D09C4" w:rsidP="00A6454D">
            <w:r w:rsidRPr="003D09C4">
              <w:t xml:space="preserve">Example 2: Successive phases of an operation (ESF+) </w:t>
            </w:r>
          </w:p>
        </w:tc>
      </w:tr>
      <w:tr w:rsidR="003D09C4" w14:paraId="32B38048" w14:textId="77777777" w:rsidTr="404BE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16B61974" w14:textId="3E25E555" w:rsidR="003D09C4" w:rsidRPr="003D09C4" w:rsidRDefault="5B8F6B6A" w:rsidP="267C2B6F">
            <w:pPr>
              <w:rPr>
                <w:color w:val="4472C4" w:themeColor="accent1"/>
              </w:rPr>
            </w:pPr>
            <w:r>
              <w:rPr>
                <w:b w:val="0"/>
                <w:bCs w:val="0"/>
              </w:rPr>
              <w:lastRenderedPageBreak/>
              <w:t xml:space="preserve">Example of an already started operation managed </w:t>
            </w:r>
            <w:proofErr w:type="gramStart"/>
            <w:r>
              <w:rPr>
                <w:b w:val="0"/>
                <w:bCs w:val="0"/>
              </w:rPr>
              <w:t>on the basis of</w:t>
            </w:r>
            <w:proofErr w:type="gramEnd"/>
            <w:r>
              <w:rPr>
                <w:b w:val="0"/>
                <w:bCs w:val="0"/>
              </w:rPr>
              <w:t xml:space="preserve"> real costs that the managing authority wants to continue to manage on the basis of simplified cost options. Two </w:t>
            </w:r>
            <w:r w:rsidR="3A6C7D66">
              <w:rPr>
                <w:b w:val="0"/>
                <w:bCs w:val="0"/>
              </w:rPr>
              <w:t xml:space="preserve">stages of the operation </w:t>
            </w:r>
            <w:r>
              <w:rPr>
                <w:b w:val="0"/>
                <w:bCs w:val="0"/>
              </w:rPr>
              <w:t xml:space="preserve">will have to be clearly defined. The first </w:t>
            </w:r>
            <w:r w:rsidR="3A6C7D66">
              <w:rPr>
                <w:b w:val="0"/>
                <w:bCs w:val="0"/>
              </w:rPr>
              <w:t xml:space="preserve">stage </w:t>
            </w:r>
            <w:r>
              <w:rPr>
                <w:b w:val="0"/>
                <w:bCs w:val="0"/>
              </w:rPr>
              <w:t xml:space="preserve">could be calculated </w:t>
            </w:r>
            <w:proofErr w:type="gramStart"/>
            <w:r>
              <w:rPr>
                <w:b w:val="0"/>
                <w:bCs w:val="0"/>
              </w:rPr>
              <w:t>on the basis of</w:t>
            </w:r>
            <w:proofErr w:type="gramEnd"/>
            <w:r>
              <w:rPr>
                <w:b w:val="0"/>
                <w:bCs w:val="0"/>
              </w:rPr>
              <w:t xml:space="preserve"> real costs until a given date.</w:t>
            </w:r>
            <w:r>
              <w:t xml:space="preserve"> </w:t>
            </w:r>
            <w:r w:rsidRPr="404BE40D">
              <w:rPr>
                <w:color w:val="4472C4" w:themeColor="accent1"/>
              </w:rPr>
              <w:t xml:space="preserve">The second </w:t>
            </w:r>
            <w:r w:rsidR="3A6C7D66" w:rsidRPr="404BE40D">
              <w:rPr>
                <w:color w:val="4472C4" w:themeColor="accent1"/>
              </w:rPr>
              <w:t>stage</w:t>
            </w:r>
            <w:r w:rsidRPr="404BE40D">
              <w:rPr>
                <w:color w:val="4472C4" w:themeColor="accent1"/>
              </w:rPr>
              <w:t xml:space="preserve">, for future expenditure, could be calculated </w:t>
            </w:r>
            <w:proofErr w:type="gramStart"/>
            <w:r w:rsidRPr="404BE40D">
              <w:rPr>
                <w:color w:val="4472C4" w:themeColor="accent1"/>
              </w:rPr>
              <w:t>on the basis of</w:t>
            </w:r>
            <w:proofErr w:type="gramEnd"/>
            <w:r w:rsidRPr="404BE40D">
              <w:rPr>
                <w:color w:val="4472C4" w:themeColor="accent1"/>
              </w:rPr>
              <w:t xml:space="preserve"> a standard scales of unit cost</w:t>
            </w:r>
            <w:r>
              <w:t xml:space="preserve"> </w:t>
            </w:r>
            <w:r w:rsidRPr="404BE40D">
              <w:rPr>
                <w:color w:val="4472C4" w:themeColor="accent1"/>
              </w:rPr>
              <w:t>provided that the unit cost does not cover any of the previously supported expenditure.</w:t>
            </w:r>
          </w:p>
          <w:p w14:paraId="4AAEE5D2" w14:textId="095F9D11" w:rsidR="003D09C4" w:rsidRPr="003D09C4" w:rsidRDefault="5B8F6B6A" w:rsidP="00A6454D">
            <w:pPr>
              <w:rPr>
                <w:b w:val="0"/>
                <w:bCs w:val="0"/>
              </w:rPr>
            </w:pPr>
            <w:r>
              <w:rPr>
                <w:b w:val="0"/>
                <w:bCs w:val="0"/>
              </w:rPr>
              <w:t xml:space="preserve">If such a possibility is applied, it should concern all the beneficiaries in the same situation (transparency &amp; equal treatment). It could create some administrative burden because of the need to amend the document setting out the conditions for </w:t>
            </w:r>
            <w:proofErr w:type="gramStart"/>
            <w:r>
              <w:rPr>
                <w:b w:val="0"/>
                <w:bCs w:val="0"/>
              </w:rPr>
              <w:t>support, if</w:t>
            </w:r>
            <w:proofErr w:type="gramEnd"/>
            <w:r>
              <w:rPr>
                <w:b w:val="0"/>
                <w:bCs w:val="0"/>
              </w:rPr>
              <w:t xml:space="preserve"> this was not anticipated. A detailed description of the operation must be clearly drawn up by the Member State’s authorities for each </w:t>
            </w:r>
            <w:r w:rsidR="3A6C7D66">
              <w:rPr>
                <w:b w:val="0"/>
                <w:bCs w:val="0"/>
              </w:rPr>
              <w:t>stage</w:t>
            </w:r>
            <w:r>
              <w:rPr>
                <w:b w:val="0"/>
                <w:bCs w:val="0"/>
              </w:rPr>
              <w:t xml:space="preserve">. The operation should be divided into at least two distinct, identifiable financial and ideally physical or development </w:t>
            </w:r>
            <w:r w:rsidR="3A6C7D66">
              <w:rPr>
                <w:b w:val="0"/>
                <w:bCs w:val="0"/>
              </w:rPr>
              <w:t>periods</w:t>
            </w:r>
            <w:r>
              <w:rPr>
                <w:b w:val="0"/>
                <w:bCs w:val="0"/>
              </w:rPr>
              <w:t xml:space="preserve"> corresponding to the </w:t>
            </w:r>
            <w:r w:rsidR="3A6C7D66">
              <w:rPr>
                <w:b w:val="0"/>
                <w:bCs w:val="0"/>
              </w:rPr>
              <w:t xml:space="preserve">stages </w:t>
            </w:r>
            <w:r>
              <w:rPr>
                <w:b w:val="0"/>
                <w:bCs w:val="0"/>
              </w:rPr>
              <w:t>concerned. This is to be done with the aim of ensuring transparent implementation and monitoring and to facilitate controls.</w:t>
            </w:r>
          </w:p>
        </w:tc>
      </w:tr>
    </w:tbl>
    <w:p w14:paraId="538D177D" w14:textId="77777777" w:rsidR="004844BA" w:rsidRDefault="004844BA" w:rsidP="00037C88">
      <w:pPr>
        <w:rPr>
          <w:b/>
        </w:rPr>
      </w:pPr>
    </w:p>
    <w:tbl>
      <w:tblPr>
        <w:tblStyle w:val="GridTable4-Accent1"/>
        <w:tblW w:w="0" w:type="auto"/>
        <w:tblLook w:val="04A0" w:firstRow="1" w:lastRow="0" w:firstColumn="1" w:lastColumn="0" w:noHBand="0" w:noVBand="1"/>
      </w:tblPr>
      <w:tblGrid>
        <w:gridCol w:w="9016"/>
      </w:tblGrid>
      <w:tr w:rsidR="001B5A02" w14:paraId="374E0B40" w14:textId="77777777" w:rsidTr="512430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55B90DAA" w14:textId="46A9E93A" w:rsidR="001B5A02" w:rsidRPr="001B5A02" w:rsidRDefault="001B5A02" w:rsidP="00037C88">
            <w:pPr>
              <w:rPr>
                <w:bCs w:val="0"/>
              </w:rPr>
            </w:pPr>
            <w:r w:rsidRPr="001B5A02">
              <w:t>Example 3:</w:t>
            </w:r>
            <w:r w:rsidRPr="00037C88">
              <w:t xml:space="preserve"> Different categories of eligible costs (ESF+)</w:t>
            </w:r>
          </w:p>
        </w:tc>
      </w:tr>
      <w:tr w:rsidR="001B5A02" w14:paraId="039CF3FA" w14:textId="77777777" w:rsidTr="51243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338C2F4B" w14:textId="77777777" w:rsidR="001B5A02" w:rsidRPr="002660D4" w:rsidRDefault="001B5A02" w:rsidP="001B5A02">
            <w:pPr>
              <w:rPr>
                <w:b w:val="0"/>
                <w:bCs w:val="0"/>
              </w:rPr>
            </w:pPr>
            <w:r w:rsidRPr="002660D4">
              <w:rPr>
                <w:b w:val="0"/>
                <w:bCs w:val="0"/>
              </w:rPr>
              <w:t>Example of a training session combining:</w:t>
            </w:r>
          </w:p>
          <w:p w14:paraId="23FF27FD" w14:textId="1C54D61C" w:rsidR="001B5A02" w:rsidRPr="002660D4" w:rsidRDefault="18F86962" w:rsidP="3728CE6D">
            <w:pPr>
              <w:numPr>
                <w:ilvl w:val="0"/>
                <w:numId w:val="32"/>
              </w:numPr>
              <w:spacing w:before="0"/>
              <w:rPr>
                <w:b w:val="0"/>
                <w:bCs w:val="0"/>
              </w:rPr>
            </w:pPr>
            <w:r>
              <w:rPr>
                <w:b w:val="0"/>
                <w:bCs w:val="0"/>
              </w:rPr>
              <w:t xml:space="preserve">a standard scale of unit cost for the wages of the trainers, </w:t>
            </w:r>
            <w:r w:rsidR="3341A747">
              <w:rPr>
                <w:b w:val="0"/>
                <w:bCs w:val="0"/>
              </w:rPr>
              <w:t>e.g.,</w:t>
            </w:r>
            <w:r>
              <w:rPr>
                <w:b w:val="0"/>
                <w:bCs w:val="0"/>
              </w:rPr>
              <w:t xml:space="preserve"> EUR 450/</w:t>
            </w:r>
            <w:proofErr w:type="gramStart"/>
            <w:r>
              <w:rPr>
                <w:b w:val="0"/>
                <w:bCs w:val="0"/>
              </w:rPr>
              <w:t>day;</w:t>
            </w:r>
            <w:proofErr w:type="gramEnd"/>
          </w:p>
          <w:p w14:paraId="0EADE34A" w14:textId="77777777" w:rsidR="001B5A02" w:rsidRPr="002660D4" w:rsidRDefault="18F86962" w:rsidP="3728CE6D">
            <w:pPr>
              <w:numPr>
                <w:ilvl w:val="0"/>
                <w:numId w:val="32"/>
              </w:numPr>
              <w:spacing w:before="0"/>
              <w:rPr>
                <w:b w:val="0"/>
                <w:bCs w:val="0"/>
              </w:rPr>
            </w:pPr>
            <w:r>
              <w:rPr>
                <w:b w:val="0"/>
                <w:bCs w:val="0"/>
              </w:rPr>
              <w:t xml:space="preserve">real costs: room rented = EUR 800 / month as per rental contract </w:t>
            </w:r>
            <w:proofErr w:type="gramStart"/>
            <w:r>
              <w:rPr>
                <w:b w:val="0"/>
                <w:bCs w:val="0"/>
              </w:rPr>
              <w:t>during</w:t>
            </w:r>
            <w:proofErr w:type="gramEnd"/>
            <w:r>
              <w:rPr>
                <w:b w:val="0"/>
                <w:bCs w:val="0"/>
              </w:rPr>
              <w:t xml:space="preserve"> 12 months</w:t>
            </w:r>
          </w:p>
          <w:p w14:paraId="3FF54136" w14:textId="77777777" w:rsidR="001B5A02" w:rsidRPr="002660D4" w:rsidRDefault="18F86962" w:rsidP="3728CE6D">
            <w:pPr>
              <w:numPr>
                <w:ilvl w:val="0"/>
                <w:numId w:val="32"/>
              </w:numPr>
              <w:spacing w:before="0"/>
              <w:rPr>
                <w:b w:val="0"/>
                <w:bCs w:val="0"/>
              </w:rPr>
            </w:pPr>
            <w:r>
              <w:rPr>
                <w:b w:val="0"/>
                <w:bCs w:val="0"/>
              </w:rPr>
              <w:t>a flat rate for the indirect costs, for example 10 % of direct costs.</w:t>
            </w:r>
          </w:p>
          <w:p w14:paraId="3ED3785A" w14:textId="77777777" w:rsidR="001B5A02" w:rsidRPr="002660D4" w:rsidRDefault="001B5A02" w:rsidP="001B5A02">
            <w:pPr>
              <w:rPr>
                <w:b w:val="0"/>
                <w:bCs w:val="0"/>
              </w:rPr>
            </w:pPr>
            <w:r w:rsidRPr="002660D4">
              <w:rPr>
                <w:b w:val="0"/>
                <w:bCs w:val="0"/>
              </w:rPr>
              <w:t>At the end of the training, if 200 days of trainers were justified the grant will be paid on the following basis:</w:t>
            </w:r>
          </w:p>
          <w:p w14:paraId="51BCF653" w14:textId="77777777" w:rsidR="001B5A02" w:rsidRPr="002660D4" w:rsidRDefault="61C9CD8B" w:rsidP="001B5A02">
            <w:pPr>
              <w:rPr>
                <w:b w:val="0"/>
                <w:bCs w:val="0"/>
                <w:u w:val="single"/>
              </w:rPr>
            </w:pPr>
            <w:r w:rsidRPr="002660D4">
              <w:rPr>
                <w:b w:val="0"/>
                <w:bCs w:val="0"/>
                <w:u w:val="single"/>
              </w:rPr>
              <w:t>Direct costs (type 1</w:t>
            </w:r>
            <w:r w:rsidR="001B5A02" w:rsidRPr="002660D4">
              <w:rPr>
                <w:b w:val="0"/>
                <w:bCs w:val="0"/>
                <w:u w:val="single"/>
                <w:vertAlign w:val="superscript"/>
              </w:rPr>
              <w:footnoteReference w:id="14"/>
            </w:r>
            <w:r w:rsidRPr="002660D4">
              <w:rPr>
                <w:b w:val="0"/>
                <w:bCs w:val="0"/>
                <w:u w:val="single"/>
              </w:rPr>
              <w:t>):</w:t>
            </w:r>
          </w:p>
          <w:p w14:paraId="5942C1FE" w14:textId="77777777" w:rsidR="001B5A02" w:rsidRPr="002660D4" w:rsidRDefault="001B5A02" w:rsidP="001B5A02">
            <w:pPr>
              <w:rPr>
                <w:b w:val="0"/>
                <w:bCs w:val="0"/>
              </w:rPr>
            </w:pPr>
            <w:r w:rsidRPr="002660D4">
              <w:rPr>
                <w:b w:val="0"/>
                <w:bCs w:val="0"/>
              </w:rPr>
              <w:t xml:space="preserve">     wages of the trainers 200 days x EUR 450 = EUR 90 000</w:t>
            </w:r>
            <w:r w:rsidRPr="002660D4">
              <w:rPr>
                <w:b w:val="0"/>
                <w:bCs w:val="0"/>
              </w:rPr>
              <w:tab/>
            </w:r>
            <w:r w:rsidRPr="002660D4">
              <w:rPr>
                <w:b w:val="0"/>
                <w:bCs w:val="0"/>
              </w:rPr>
              <w:br/>
              <w:t xml:space="preserve">     training room: 12 months x EUR 800 = EUR 9 600</w:t>
            </w:r>
            <w:r w:rsidRPr="002660D4">
              <w:rPr>
                <w:b w:val="0"/>
                <w:bCs w:val="0"/>
              </w:rPr>
              <w:tab/>
            </w:r>
          </w:p>
          <w:p w14:paraId="71190011" w14:textId="77777777" w:rsidR="001B5A02" w:rsidRPr="002660D4" w:rsidRDefault="001B5A02" w:rsidP="001B5A02">
            <w:pPr>
              <w:rPr>
                <w:b w:val="0"/>
                <w:bCs w:val="0"/>
              </w:rPr>
            </w:pPr>
            <w:r w:rsidRPr="002660D4">
              <w:rPr>
                <w:b w:val="0"/>
                <w:bCs w:val="0"/>
              </w:rPr>
              <w:t xml:space="preserve">     subtotal direct costs: EUR 99 600</w:t>
            </w:r>
          </w:p>
          <w:p w14:paraId="6724815D" w14:textId="77777777" w:rsidR="001B5A02" w:rsidRPr="002660D4" w:rsidRDefault="001B5A02" w:rsidP="001B5A02">
            <w:pPr>
              <w:rPr>
                <w:b w:val="0"/>
                <w:bCs w:val="0"/>
              </w:rPr>
            </w:pPr>
            <w:r w:rsidRPr="002660D4">
              <w:rPr>
                <w:b w:val="0"/>
                <w:bCs w:val="0"/>
                <w:u w:val="single"/>
              </w:rPr>
              <w:t>Indirect costs (type 2):</w:t>
            </w:r>
            <w:r w:rsidRPr="002660D4">
              <w:rPr>
                <w:b w:val="0"/>
                <w:bCs w:val="0"/>
              </w:rPr>
              <w:t xml:space="preserve"> 10 % of direct costs = 10 % x EUR 99 600 = EUR 9 960</w:t>
            </w:r>
          </w:p>
          <w:p w14:paraId="7E83A9EB" w14:textId="0EFDECE7" w:rsidR="001B5A02" w:rsidRPr="00ED7CF5" w:rsidRDefault="001B5A02" w:rsidP="001B5A02">
            <w:pPr>
              <w:rPr>
                <w:color w:val="4472C4" w:themeColor="accent1"/>
              </w:rPr>
            </w:pPr>
            <w:proofErr w:type="spellStart"/>
            <w:r w:rsidRPr="00ED7CF5">
              <w:rPr>
                <w:color w:val="4472C4" w:themeColor="accent1"/>
              </w:rPr>
              <w:t>Eligible</w:t>
            </w:r>
            <w:proofErr w:type="spellEnd"/>
            <w:r w:rsidRPr="00ED7CF5">
              <w:rPr>
                <w:color w:val="4472C4" w:themeColor="accent1"/>
              </w:rPr>
              <w:t xml:space="preserve"> expenditure: (EUR 90 000 + EUR 9 600) + EUR 9 960 = EUR 109 560</w:t>
            </w:r>
          </w:p>
          <w:p w14:paraId="1C1A941C" w14:textId="77777777" w:rsidR="001B5A02" w:rsidRPr="002660D4" w:rsidRDefault="001B5A02" w:rsidP="001B5A02">
            <w:pPr>
              <w:rPr>
                <w:b w:val="0"/>
                <w:bCs w:val="0"/>
              </w:rPr>
            </w:pPr>
            <w:r w:rsidRPr="002660D4">
              <w:rPr>
                <w:b w:val="0"/>
                <w:bCs w:val="0"/>
              </w:rPr>
              <w:t xml:space="preserve">In that case, different categories of costs are concerned: wages of trainers, rent costs for the room, indirect costs. However, </w:t>
            </w:r>
            <w:proofErr w:type="gramStart"/>
            <w:r w:rsidRPr="002660D4">
              <w:rPr>
                <w:b w:val="0"/>
                <w:bCs w:val="0"/>
              </w:rPr>
              <w:t>in order to</w:t>
            </w:r>
            <w:proofErr w:type="gramEnd"/>
            <w:r w:rsidRPr="002660D4">
              <w:rPr>
                <w:b w:val="0"/>
                <w:bCs w:val="0"/>
              </w:rPr>
              <w:t xml:space="preserve"> verify the absence of double financing the authorities must ensure that the standard scale of unit cost does not relate to any costs linked to the renting of the room or to the indirect costs (salary of administrative staff or of the accountant, for example). Reciprocally the same applies for the definition of indirect costs that should not relate to costs covered by the standard scales of unit costs or real costs of renting the room.</w:t>
            </w:r>
          </w:p>
          <w:p w14:paraId="48125D95" w14:textId="7822D5E7" w:rsidR="001B5A02" w:rsidRDefault="001B5A02" w:rsidP="001B5A02">
            <w:pPr>
              <w:rPr>
                <w:bCs w:val="0"/>
              </w:rPr>
            </w:pPr>
            <w:r w:rsidRPr="002660D4">
              <w:rPr>
                <w:b w:val="0"/>
                <w:bCs w:val="0"/>
              </w:rPr>
              <w:t>If there is a risk of overlap or it is impossible to demonstrate that there are no overlaps, the managing authority will have to choose the more appropriate option to avoid any (risk of) double financing</w:t>
            </w:r>
            <w:r w:rsidRPr="001B5A02">
              <w:rPr>
                <w:b w:val="0"/>
                <w:bCs w:val="0"/>
              </w:rPr>
              <w:t>.</w:t>
            </w:r>
          </w:p>
        </w:tc>
      </w:tr>
    </w:tbl>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0"/>
        <w:gridCol w:w="345"/>
        <w:gridCol w:w="345"/>
        <w:gridCol w:w="345"/>
        <w:gridCol w:w="345"/>
        <w:gridCol w:w="345"/>
        <w:gridCol w:w="345"/>
      </w:tblGrid>
      <w:tr w:rsidR="00EA4AF6" w:rsidRPr="00EA4AF6" w14:paraId="0C1A3968" w14:textId="77777777" w:rsidTr="30D7A848">
        <w:trPr>
          <w:trHeight w:val="300"/>
        </w:trPr>
        <w:tc>
          <w:tcPr>
            <w:tcW w:w="9000" w:type="dxa"/>
          </w:tcPr>
          <w:p w14:paraId="47A4FBF5" w14:textId="3CE139DD" w:rsidR="00AD0B7C" w:rsidRDefault="009E19C6" w:rsidP="23C69889">
            <w:pPr>
              <w:pStyle w:val="Style3"/>
            </w:pPr>
            <w:r>
              <w:t xml:space="preserve">Examples of combinations of SCOs </w:t>
            </w:r>
            <w:r w:rsidRPr="23C69889">
              <w:rPr>
                <w:b/>
                <w:bCs/>
              </w:rPr>
              <w:t>NOT allowed</w:t>
            </w:r>
            <w:r>
              <w:t xml:space="preserve"> in the CPR</w:t>
            </w:r>
          </w:p>
          <w:p w14:paraId="401FAAAA" w14:textId="77777777" w:rsidR="004844BA" w:rsidRPr="004844BA" w:rsidRDefault="004844BA" w:rsidP="004844BA"/>
          <w:tbl>
            <w:tblPr>
              <w:tblStyle w:val="GridTable4-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7"/>
              <w:gridCol w:w="10"/>
              <w:gridCol w:w="4377"/>
            </w:tblGrid>
            <w:tr w:rsidR="00AD0B7C" w:rsidRPr="004B08FF" w14:paraId="1FC0D950" w14:textId="77777777" w:rsidTr="30D7A84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400" w:type="dxa"/>
                </w:tcPr>
                <w:p w14:paraId="6B592F76" w14:textId="18FA2109" w:rsidR="00AD0B7C" w:rsidRPr="001B5A02" w:rsidRDefault="00AD0B7C" w:rsidP="00AD0B7C">
                  <w:pPr>
                    <w:jc w:val="center"/>
                    <w:rPr>
                      <w:b w:val="0"/>
                      <w:bCs w:val="0"/>
                      <w:lang w:val="en-IE"/>
                    </w:rPr>
                  </w:pPr>
                  <w:r w:rsidRPr="00EA4AF6">
                    <w:t>Article 56 and Article 55(1) CPR</w:t>
                  </w:r>
                </w:p>
              </w:tc>
              <w:tc>
                <w:tcPr>
                  <w:tcW w:w="4400" w:type="dxa"/>
                  <w:gridSpan w:val="2"/>
                </w:tcPr>
                <w:p w14:paraId="18E18BE7" w14:textId="0CC76F82" w:rsidR="00AD0B7C" w:rsidRPr="00B36840" w:rsidRDefault="00AD0B7C" w:rsidP="00AD0B7C">
                  <w:pPr>
                    <w:jc w:val="center"/>
                    <w:cnfStyle w:val="100000000000" w:firstRow="1" w:lastRow="0" w:firstColumn="0" w:lastColumn="0" w:oddVBand="0" w:evenVBand="0" w:oddHBand="0" w:evenHBand="0" w:firstRowFirstColumn="0" w:firstRowLastColumn="0" w:lastRowFirstColumn="0" w:lastRowLastColumn="0"/>
                    <w:rPr>
                      <w:lang w:val="fr-BE"/>
                    </w:rPr>
                  </w:pPr>
                  <w:r w:rsidRPr="00D83E75">
                    <w:rPr>
                      <w:lang w:val="fr-BE"/>
                    </w:rPr>
                    <w:t>Article 54 CPR and Article 56 CPR</w:t>
                  </w:r>
                </w:p>
              </w:tc>
            </w:tr>
            <w:tr w:rsidR="00EA4AF6" w:rsidRPr="00EA4AF6" w14:paraId="0FCB3B43" w14:textId="77777777" w:rsidTr="30D7A84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410" w:type="dxa"/>
                  <w:gridSpan w:val="2"/>
                </w:tcPr>
                <w:p w14:paraId="1DF5B503" w14:textId="77777777" w:rsidR="00AD0B7C" w:rsidRPr="00EA4AF6" w:rsidRDefault="00AD0B7C" w:rsidP="00AD0B7C">
                  <w:pPr>
                    <w:spacing w:line="276" w:lineRule="auto"/>
                    <w:rPr>
                      <w:b w:val="0"/>
                      <w:bCs w:val="0"/>
                    </w:rPr>
                  </w:pPr>
                  <w:r w:rsidRPr="00EA4AF6">
                    <w:rPr>
                      <w:b w:val="0"/>
                      <w:bCs w:val="0"/>
                    </w:rPr>
                    <w:t xml:space="preserve">Flat rate of up to 40 % of eligible direct staff costs used to cover the remaining costs of an operation (Article 56 CPR) cannot be applied to staff costs calculated </w:t>
                  </w:r>
                  <w:proofErr w:type="gramStart"/>
                  <w:r w:rsidRPr="00EA4AF6">
                    <w:rPr>
                      <w:b w:val="0"/>
                      <w:bCs w:val="0"/>
                    </w:rPr>
                    <w:t>on the basis of</w:t>
                  </w:r>
                  <w:proofErr w:type="gramEnd"/>
                  <w:r w:rsidRPr="00EA4AF6">
                    <w:rPr>
                      <w:b w:val="0"/>
                      <w:bCs w:val="0"/>
                    </w:rPr>
                    <w:t xml:space="preserve"> a flat rate of up to 20% of direct costs other than direct staff costs (Article 55(1) CPR)</w:t>
                  </w:r>
                </w:p>
                <w:p w14:paraId="0DCEBD7B" w14:textId="762DE910" w:rsidR="00EA4AF6" w:rsidRPr="00EA4AF6" w:rsidRDefault="00AD0B7C" w:rsidP="00AD0B7C">
                  <w:pPr>
                    <w:spacing w:line="276" w:lineRule="auto"/>
                  </w:pPr>
                  <w:r w:rsidRPr="00EA4AF6">
                    <w:rPr>
                      <w:b w:val="0"/>
                      <w:bCs w:val="0"/>
                    </w:rPr>
                    <w:t xml:space="preserve">Reason:  Forbidden by article 56(3) CPR because the </w:t>
                  </w:r>
                  <w:r w:rsidRPr="00F427F7">
                    <w:rPr>
                      <w:b w:val="0"/>
                      <w:bCs w:val="0"/>
                    </w:rPr>
                    <w:t xml:space="preserve">same category of costs </w:t>
                  </w:r>
                  <w:r>
                    <w:rPr>
                      <w:b w:val="0"/>
                      <w:bCs w:val="0"/>
                    </w:rPr>
                    <w:t xml:space="preserve">(i.e., staff costs) </w:t>
                  </w:r>
                  <w:r w:rsidRPr="00F427F7">
                    <w:rPr>
                      <w:b w:val="0"/>
                      <w:bCs w:val="0"/>
                    </w:rPr>
                    <w:t xml:space="preserve">cannot be </w:t>
                  </w:r>
                  <w:r>
                    <w:rPr>
                      <w:b w:val="0"/>
                      <w:bCs w:val="0"/>
                    </w:rPr>
                    <w:t xml:space="preserve">the </w:t>
                  </w:r>
                  <w:r w:rsidRPr="00F427F7">
                    <w:rPr>
                      <w:b w:val="0"/>
                      <w:bCs w:val="0"/>
                    </w:rPr>
                    <w:t>basis for the calculation of a flat rate</w:t>
                  </w:r>
                  <w:r>
                    <w:rPr>
                      <w:b w:val="0"/>
                      <w:bCs w:val="0"/>
                    </w:rPr>
                    <w:t xml:space="preserve"> for all remaining costs of an operation</w:t>
                  </w:r>
                  <w:r w:rsidRPr="00F427F7">
                    <w:rPr>
                      <w:b w:val="0"/>
                      <w:bCs w:val="0"/>
                    </w:rPr>
                    <w:t xml:space="preserve"> and</w:t>
                  </w:r>
                  <w:r>
                    <w:rPr>
                      <w:b w:val="0"/>
                      <w:bCs w:val="0"/>
                    </w:rPr>
                    <w:t xml:space="preserve">, at the same time, be </w:t>
                  </w:r>
                  <w:r w:rsidRPr="00F427F7">
                    <w:rPr>
                      <w:b w:val="0"/>
                      <w:bCs w:val="0"/>
                    </w:rPr>
                    <w:t>calculated as a flat rate</w:t>
                  </w:r>
                  <w:r>
                    <w:rPr>
                      <w:b w:val="0"/>
                      <w:bCs w:val="0"/>
                    </w:rPr>
                    <w:t xml:space="preserve"> on the basis of part of the costs that included in the remaining costs of an operation (i.e., direct costs).</w:t>
                  </w:r>
                </w:p>
              </w:tc>
              <w:tc>
                <w:tcPr>
                  <w:tcW w:w="4390" w:type="dxa"/>
                </w:tcPr>
                <w:p w14:paraId="54EBF8B1" w14:textId="77777777" w:rsidR="00AD0B7C" w:rsidRPr="00EA4AF6" w:rsidRDefault="00AD0B7C" w:rsidP="00AD0B7C">
                  <w:pPr>
                    <w:spacing w:line="276" w:lineRule="auto"/>
                    <w:cnfStyle w:val="000000100000" w:firstRow="0" w:lastRow="0" w:firstColumn="0" w:lastColumn="0" w:oddVBand="0" w:evenVBand="0" w:oddHBand="1" w:evenHBand="0" w:firstRowFirstColumn="0" w:firstRowLastColumn="0" w:lastRowFirstColumn="0" w:lastRowLastColumn="0"/>
                  </w:pPr>
                  <w:r w:rsidRPr="00EA4AF6">
                    <w:t>Flat rate of up to 7% of eligible direct costs / up to 15% of eligible direct staff costs / up to 25% of eligible direct costs (Article 54 CPR) to calculate indirect costs (Article 54 CPR) cannot be combined with a flat rate of up to 40% of eligible direct staff costs used to cover the remaining costs of an operation (Article 56 CPR)</w:t>
                  </w:r>
                </w:p>
                <w:p w14:paraId="4F47C7DD" w14:textId="7BB08240" w:rsidR="00EA4AF6" w:rsidRPr="00325A56" w:rsidRDefault="00AD0B7C" w:rsidP="00AD0B7C">
                  <w:pPr>
                    <w:spacing w:line="276" w:lineRule="auto"/>
                    <w:cnfStyle w:val="000000100000" w:firstRow="0" w:lastRow="0" w:firstColumn="0" w:lastColumn="0" w:oddVBand="0" w:evenVBand="0" w:oddHBand="1" w:evenHBand="0" w:firstRowFirstColumn="0" w:firstRowLastColumn="0" w:lastRowFirstColumn="0" w:lastRowLastColumn="0"/>
                    <w:rPr>
                      <w:b/>
                      <w:bCs/>
                      <w:lang w:val="en-IE"/>
                    </w:rPr>
                  </w:pPr>
                  <w:r w:rsidRPr="00EA4AF6">
                    <w:t>Reason: the same category of costs (i.e.</w:t>
                  </w:r>
                  <w:r>
                    <w:t>,</w:t>
                  </w:r>
                  <w:r w:rsidRPr="00EA4AF6">
                    <w:t xml:space="preserve"> the indirect costs) would be covered twice.</w:t>
                  </w:r>
                </w:p>
              </w:tc>
            </w:tr>
          </w:tbl>
          <w:p w14:paraId="086B0136" w14:textId="77777777" w:rsidR="009E19C6" w:rsidRPr="00EA4AF6" w:rsidRDefault="009E19C6" w:rsidP="00EA4AF6">
            <w:pPr>
              <w:spacing w:line="276" w:lineRule="auto"/>
            </w:pPr>
          </w:p>
        </w:tc>
        <w:tc>
          <w:tcPr>
            <w:tcW w:w="345" w:type="dxa"/>
          </w:tcPr>
          <w:p w14:paraId="3D4B71B7" w14:textId="61C00624" w:rsidR="30D7A848" w:rsidRDefault="30D7A848" w:rsidP="30D7A848">
            <w:pPr>
              <w:spacing w:line="276" w:lineRule="auto"/>
              <w:rPr>
                <w:b/>
                <w:bCs/>
                <w:color w:val="4472C4" w:themeColor="accent1"/>
              </w:rPr>
            </w:pPr>
          </w:p>
        </w:tc>
        <w:tc>
          <w:tcPr>
            <w:tcW w:w="345" w:type="dxa"/>
          </w:tcPr>
          <w:p w14:paraId="269F0A72" w14:textId="28C49236" w:rsidR="30D7A848" w:rsidRDefault="30D7A848" w:rsidP="30D7A848">
            <w:pPr>
              <w:spacing w:line="276" w:lineRule="auto"/>
              <w:rPr>
                <w:b/>
                <w:bCs/>
                <w:color w:val="4472C4" w:themeColor="accent1"/>
              </w:rPr>
            </w:pPr>
          </w:p>
        </w:tc>
        <w:tc>
          <w:tcPr>
            <w:tcW w:w="345" w:type="dxa"/>
          </w:tcPr>
          <w:p w14:paraId="47759107" w14:textId="0B67A14D" w:rsidR="30D7A848" w:rsidRDefault="30D7A848" w:rsidP="30D7A848">
            <w:pPr>
              <w:spacing w:line="276" w:lineRule="auto"/>
              <w:rPr>
                <w:b/>
                <w:bCs/>
                <w:color w:val="4472C4" w:themeColor="accent1"/>
              </w:rPr>
            </w:pPr>
          </w:p>
        </w:tc>
        <w:tc>
          <w:tcPr>
            <w:tcW w:w="345" w:type="dxa"/>
          </w:tcPr>
          <w:p w14:paraId="71532809" w14:textId="412B664D" w:rsidR="30D7A848" w:rsidRDefault="30D7A848" w:rsidP="30D7A848">
            <w:pPr>
              <w:spacing w:line="276" w:lineRule="auto"/>
              <w:rPr>
                <w:b/>
                <w:bCs/>
                <w:color w:val="4472C4" w:themeColor="accent1"/>
              </w:rPr>
            </w:pPr>
          </w:p>
        </w:tc>
        <w:tc>
          <w:tcPr>
            <w:tcW w:w="345" w:type="dxa"/>
          </w:tcPr>
          <w:p w14:paraId="04BFEF8D" w14:textId="63F26ACB" w:rsidR="30D7A848" w:rsidRDefault="30D7A848" w:rsidP="30D7A848">
            <w:pPr>
              <w:spacing w:line="276" w:lineRule="auto"/>
              <w:rPr>
                <w:b/>
                <w:bCs/>
                <w:color w:val="4472C4" w:themeColor="accent1"/>
              </w:rPr>
            </w:pPr>
          </w:p>
        </w:tc>
        <w:tc>
          <w:tcPr>
            <w:tcW w:w="345" w:type="dxa"/>
          </w:tcPr>
          <w:p w14:paraId="4D99D0E2" w14:textId="401048A8" w:rsidR="30D7A848" w:rsidRDefault="30D7A848" w:rsidP="30D7A848">
            <w:pPr>
              <w:spacing w:line="276" w:lineRule="auto"/>
              <w:rPr>
                <w:b/>
                <w:bCs/>
                <w:color w:val="4472C4" w:themeColor="accent1"/>
              </w:rPr>
            </w:pPr>
          </w:p>
        </w:tc>
      </w:tr>
      <w:tr w:rsidR="004844BA" w:rsidRPr="00EA4AF6" w14:paraId="368B636A" w14:textId="77777777" w:rsidTr="30D7A848">
        <w:trPr>
          <w:gridAfter w:val="6"/>
          <w:wAfter w:w="2070" w:type="dxa"/>
          <w:trHeight w:val="300"/>
        </w:trPr>
        <w:tc>
          <w:tcPr>
            <w:tcW w:w="9000" w:type="dxa"/>
          </w:tcPr>
          <w:p w14:paraId="493CA4CF" w14:textId="0A97D44D" w:rsidR="004844BA" w:rsidRPr="00AD0B7C" w:rsidRDefault="004844BA" w:rsidP="004844BA">
            <w:pPr>
              <w:pStyle w:val="Style3"/>
              <w:ind w:left="-113"/>
            </w:pPr>
            <w:r>
              <w:t>Examples of combinations of SCOs</w:t>
            </w:r>
          </w:p>
        </w:tc>
      </w:tr>
    </w:tbl>
    <w:p w14:paraId="329AE114" w14:textId="1364F860" w:rsidR="00465135" w:rsidRDefault="3FF78B87" w:rsidP="30D7A848">
      <w:pPr>
        <w:spacing w:before="0" w:after="200"/>
      </w:pPr>
      <w:r>
        <w:t xml:space="preserve">The table below gives an overview of possible combinations of </w:t>
      </w:r>
      <w:proofErr w:type="gramStart"/>
      <w:r>
        <w:t>SCOs</w:t>
      </w:r>
      <w:proofErr w:type="gramEnd"/>
      <w:r>
        <w:t xml:space="preserve"> but it is by no means legally binding. Each situation </w:t>
      </w:r>
      <w:r w:rsidR="2F9ACC0B">
        <w:t>must</w:t>
      </w:r>
      <w:r w:rsidR="48F9930A">
        <w:t xml:space="preserve"> be analysed case-by-case. Managing authorities must </w:t>
      </w:r>
      <w:r w:rsidR="56FADDF4">
        <w:t xml:space="preserve">clearly define the categories of costs (direct/indirect) and </w:t>
      </w:r>
      <w:r w:rsidR="48F9930A">
        <w:t xml:space="preserve">ensure that there </w:t>
      </w:r>
      <w:r w:rsidR="12F42DB5">
        <w:t xml:space="preserve">is </w:t>
      </w:r>
      <w:r w:rsidR="48F9930A">
        <w:t>no double funding of co</w:t>
      </w:r>
      <w:r w:rsidR="663663FC">
        <w:t>sts covered</w:t>
      </w:r>
      <w:r w:rsidR="7DB528B5">
        <w:t>.</w:t>
      </w:r>
    </w:p>
    <w:p w14:paraId="1C529D65" w14:textId="593D6EBC" w:rsidR="00465135" w:rsidRDefault="7DB528B5" w:rsidP="00AD0B7C">
      <w:pPr>
        <w:spacing w:before="0" w:after="200"/>
      </w:pPr>
      <w:r>
        <w:t>(Y – yes, possible, N – no, not possible)</w:t>
      </w:r>
    </w:p>
    <w:tbl>
      <w:tblPr>
        <w:tblStyle w:val="GridTable5Dark-Accent1"/>
        <w:tblW w:w="9109" w:type="dxa"/>
        <w:jc w:val="center"/>
        <w:tblLayout w:type="fixed"/>
        <w:tblLook w:val="04A0" w:firstRow="1" w:lastRow="0" w:firstColumn="1" w:lastColumn="0" w:noHBand="0" w:noVBand="1"/>
      </w:tblPr>
      <w:tblGrid>
        <w:gridCol w:w="1683"/>
        <w:gridCol w:w="1230"/>
        <w:gridCol w:w="1270"/>
        <w:gridCol w:w="1243"/>
        <w:gridCol w:w="1209"/>
        <w:gridCol w:w="1175"/>
        <w:gridCol w:w="1299"/>
      </w:tblGrid>
      <w:tr w:rsidR="30D7A848" w14:paraId="379AE3D3" w14:textId="77777777" w:rsidTr="000A2B88">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8" w:space="0" w:color="FFFFFF" w:themeColor="background1"/>
              <w:left w:val="single" w:sz="8" w:space="0" w:color="FFFFFF" w:themeColor="background1"/>
              <w:bottom w:val="single" w:sz="8" w:space="0" w:color="FFFFFF" w:themeColor="background1"/>
            </w:tcBorders>
            <w:tcMar>
              <w:left w:w="108" w:type="dxa"/>
              <w:right w:w="108" w:type="dxa"/>
            </w:tcMar>
            <w:vAlign w:val="center"/>
          </w:tcPr>
          <w:p w14:paraId="3A5D1593" w14:textId="2FF7A9CE" w:rsidR="30D7A848" w:rsidRDefault="30D7A848" w:rsidP="30D7A848">
            <w:pPr>
              <w:spacing w:before="0" w:after="0"/>
              <w:jc w:val="center"/>
              <w:rPr>
                <w:rFonts w:ascii="Calibri" w:eastAsia="Calibri" w:hAnsi="Calibri" w:cs="Calibri"/>
              </w:rPr>
            </w:pPr>
            <w:r w:rsidRPr="30D7A848">
              <w:rPr>
                <w:rFonts w:ascii="Calibri" w:eastAsia="Calibri" w:hAnsi="Calibri" w:cs="Calibri"/>
              </w:rPr>
              <w:t>Combinations</w:t>
            </w:r>
          </w:p>
        </w:tc>
        <w:tc>
          <w:tcPr>
            <w:tcW w:w="1230" w:type="dxa"/>
            <w:tcBorders>
              <w:top w:val="single" w:sz="8" w:space="0" w:color="FFFFFF" w:themeColor="background1"/>
              <w:bottom w:val="single" w:sz="8" w:space="0" w:color="FFFFFF" w:themeColor="background1"/>
            </w:tcBorders>
            <w:tcMar>
              <w:left w:w="108" w:type="dxa"/>
              <w:right w:w="108" w:type="dxa"/>
            </w:tcMar>
            <w:vAlign w:val="center"/>
          </w:tcPr>
          <w:p w14:paraId="7AD770AA" w14:textId="1E760A1F" w:rsidR="30D7A848" w:rsidRDefault="30D7A848" w:rsidP="30D7A848">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30D7A848">
              <w:rPr>
                <w:rFonts w:ascii="Calibri" w:eastAsia="Calibri" w:hAnsi="Calibri" w:cs="Calibri"/>
                <w:b w:val="0"/>
                <w:bCs w:val="0"/>
              </w:rPr>
              <w:t>Up to 20% staff costs</w:t>
            </w:r>
          </w:p>
        </w:tc>
        <w:tc>
          <w:tcPr>
            <w:tcW w:w="1270" w:type="dxa"/>
            <w:tcBorders>
              <w:top w:val="single" w:sz="8" w:space="0" w:color="FFFFFF" w:themeColor="background1"/>
              <w:bottom w:val="single" w:sz="8" w:space="0" w:color="FFFFFF" w:themeColor="background1"/>
            </w:tcBorders>
            <w:tcMar>
              <w:left w:w="108" w:type="dxa"/>
              <w:right w:w="108" w:type="dxa"/>
            </w:tcMar>
            <w:vAlign w:val="center"/>
          </w:tcPr>
          <w:p w14:paraId="3D8292D8" w14:textId="45D5A561" w:rsidR="30D7A848" w:rsidRDefault="30D7A848" w:rsidP="30D7A848">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30D7A848">
              <w:rPr>
                <w:rFonts w:ascii="Calibri" w:eastAsia="Calibri" w:hAnsi="Calibri" w:cs="Calibri"/>
                <w:b w:val="0"/>
                <w:bCs w:val="0"/>
              </w:rPr>
              <w:t>Up to 7% indirect costs</w:t>
            </w:r>
          </w:p>
        </w:tc>
        <w:tc>
          <w:tcPr>
            <w:tcW w:w="1243" w:type="dxa"/>
            <w:tcBorders>
              <w:top w:val="single" w:sz="8" w:space="0" w:color="FFFFFF" w:themeColor="background1"/>
              <w:bottom w:val="single" w:sz="8" w:space="0" w:color="FFFFFF" w:themeColor="background1"/>
            </w:tcBorders>
            <w:tcMar>
              <w:left w:w="108" w:type="dxa"/>
              <w:right w:w="108" w:type="dxa"/>
            </w:tcMar>
            <w:vAlign w:val="center"/>
          </w:tcPr>
          <w:p w14:paraId="5356BD90" w14:textId="36559278" w:rsidR="30D7A848" w:rsidRDefault="30D7A848" w:rsidP="30D7A848">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30D7A848">
              <w:rPr>
                <w:rFonts w:ascii="Calibri" w:eastAsia="Calibri" w:hAnsi="Calibri" w:cs="Calibri"/>
                <w:b w:val="0"/>
                <w:bCs w:val="0"/>
              </w:rPr>
              <w:t>Up to 15% indirect costs</w:t>
            </w:r>
          </w:p>
        </w:tc>
        <w:tc>
          <w:tcPr>
            <w:tcW w:w="1209" w:type="dxa"/>
            <w:tcBorders>
              <w:top w:val="single" w:sz="8" w:space="0" w:color="FFFFFF" w:themeColor="background1"/>
              <w:bottom w:val="single" w:sz="8" w:space="0" w:color="FFFFFF" w:themeColor="background1"/>
            </w:tcBorders>
            <w:tcMar>
              <w:left w:w="108" w:type="dxa"/>
              <w:right w:w="108" w:type="dxa"/>
            </w:tcMar>
            <w:vAlign w:val="center"/>
          </w:tcPr>
          <w:p w14:paraId="400F5A43" w14:textId="32489FA8" w:rsidR="30D7A848" w:rsidRDefault="30D7A848" w:rsidP="30D7A848">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30D7A848">
              <w:rPr>
                <w:rFonts w:ascii="Calibri" w:eastAsia="Calibri" w:hAnsi="Calibri" w:cs="Calibri"/>
                <w:b w:val="0"/>
                <w:bCs w:val="0"/>
              </w:rPr>
              <w:t>Up to 15% travel costs</w:t>
            </w:r>
          </w:p>
        </w:tc>
        <w:tc>
          <w:tcPr>
            <w:tcW w:w="1175" w:type="dxa"/>
            <w:tcBorders>
              <w:top w:val="single" w:sz="8" w:space="0" w:color="FFFFFF" w:themeColor="background1"/>
              <w:bottom w:val="single" w:sz="8" w:space="0" w:color="FFFFFF" w:themeColor="background1"/>
            </w:tcBorders>
            <w:tcMar>
              <w:left w:w="108" w:type="dxa"/>
              <w:right w:w="108" w:type="dxa"/>
            </w:tcMar>
            <w:vAlign w:val="center"/>
          </w:tcPr>
          <w:p w14:paraId="1CB52D8D" w14:textId="16DA80B0" w:rsidR="30D7A848" w:rsidRDefault="30D7A848" w:rsidP="30D7A848">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30D7A848">
              <w:rPr>
                <w:rFonts w:ascii="Calibri" w:eastAsia="Calibri" w:hAnsi="Calibri" w:cs="Calibri"/>
                <w:b w:val="0"/>
                <w:bCs w:val="0"/>
              </w:rPr>
              <w:t>Hourly rate staff costs</w:t>
            </w:r>
            <w:r w:rsidR="2F5AFDD5" w:rsidRPr="30D7A848">
              <w:rPr>
                <w:rFonts w:ascii="Calibri" w:eastAsia="Calibri" w:hAnsi="Calibri" w:cs="Calibri"/>
                <w:b w:val="0"/>
                <w:bCs w:val="0"/>
              </w:rPr>
              <w:t>*</w:t>
            </w:r>
          </w:p>
        </w:tc>
        <w:tc>
          <w:tcPr>
            <w:tcW w:w="1299" w:type="dxa"/>
            <w:tcBorders>
              <w:top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4E54288F" w14:textId="53D67C06" w:rsidR="30D7A848" w:rsidRDefault="30D7A848" w:rsidP="30D7A848">
            <w:pPr>
              <w:spacing w:before="0" w:after="0"/>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30D7A848">
              <w:rPr>
                <w:rFonts w:ascii="Calibri" w:eastAsia="Calibri" w:hAnsi="Calibri" w:cs="Calibri"/>
                <w:b w:val="0"/>
                <w:bCs w:val="0"/>
              </w:rPr>
              <w:t>Up to 40% all other costs</w:t>
            </w:r>
          </w:p>
        </w:tc>
      </w:tr>
      <w:tr w:rsidR="30D7A848" w14:paraId="76A7B692" w14:textId="77777777" w:rsidTr="000A2B8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3F7E9F62" w14:textId="75736137" w:rsidR="30D7A848" w:rsidRDefault="30D7A848" w:rsidP="30D7A848">
            <w:pPr>
              <w:spacing w:before="0" w:after="0"/>
              <w:jc w:val="center"/>
              <w:rPr>
                <w:rFonts w:ascii="Calibri" w:eastAsia="Calibri" w:hAnsi="Calibri" w:cs="Calibri"/>
              </w:rPr>
            </w:pPr>
            <w:r w:rsidRPr="30D7A848">
              <w:rPr>
                <w:rFonts w:ascii="Calibri" w:eastAsia="Calibri" w:hAnsi="Calibri" w:cs="Calibri"/>
              </w:rPr>
              <w:t>Up to 20% staff costs</w:t>
            </w:r>
          </w:p>
        </w:tc>
        <w:tc>
          <w:tcPr>
            <w:tcW w:w="123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6191D0A4" w14:textId="3282B7FB"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30D7A848">
              <w:rPr>
                <w:rFonts w:ascii="Calibri" w:eastAsia="Calibri" w:hAnsi="Calibri" w:cs="Calibri"/>
              </w:rPr>
              <w:t xml:space="preserve"> </w:t>
            </w:r>
          </w:p>
        </w:tc>
        <w:tc>
          <w:tcPr>
            <w:tcW w:w="127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361DEB4F" w14:textId="014FD795"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552DADD6" w14:textId="6AA0F9F6"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26619D73" w14:textId="7B3B1E06"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51590E83" w14:textId="7B440073"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c>
          <w:tcPr>
            <w:tcW w:w="129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6B5C88DC" w14:textId="78467277"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r>
      <w:tr w:rsidR="30D7A848" w14:paraId="5FC0C03E" w14:textId="77777777" w:rsidTr="000A2B88">
        <w:trPr>
          <w:trHeight w:val="30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5A28B918" w14:textId="7359D0D4" w:rsidR="30D7A848" w:rsidRDefault="30D7A848" w:rsidP="30D7A848">
            <w:pPr>
              <w:spacing w:before="0" w:after="0"/>
              <w:jc w:val="center"/>
              <w:rPr>
                <w:rFonts w:ascii="Calibri" w:eastAsia="Calibri" w:hAnsi="Calibri" w:cs="Calibri"/>
              </w:rPr>
            </w:pPr>
            <w:r w:rsidRPr="30D7A848">
              <w:rPr>
                <w:rFonts w:ascii="Calibri" w:eastAsia="Calibri" w:hAnsi="Calibri" w:cs="Calibri"/>
              </w:rPr>
              <w:t>Up to 7% indirect costs</w:t>
            </w:r>
          </w:p>
        </w:tc>
        <w:tc>
          <w:tcPr>
            <w:tcW w:w="123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0752F84C" w14:textId="2B925CDA"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7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6EC2C5F9" w14:textId="4EDA64A2"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30D7A848">
              <w:rPr>
                <w:rFonts w:ascii="Calibri" w:eastAsia="Calibri" w:hAnsi="Calibri" w:cs="Calibri"/>
              </w:rPr>
              <w:t xml:space="preserve"> </w:t>
            </w:r>
          </w:p>
        </w:tc>
        <w:tc>
          <w:tcPr>
            <w:tcW w:w="12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358B52D7" w14:textId="3C96244F"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c>
          <w:tcPr>
            <w:tcW w:w="12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109FB498" w14:textId="74350C0F"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10CF9D90" w14:textId="72CCD2E6"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9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7E5D6FDD" w14:textId="539C3A8B"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r>
      <w:tr w:rsidR="30D7A848" w14:paraId="60825794" w14:textId="77777777" w:rsidTr="000A2B8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61EC058A" w14:textId="2371694D" w:rsidR="30D7A848" w:rsidRDefault="30D7A848" w:rsidP="30D7A848">
            <w:pPr>
              <w:spacing w:before="0" w:after="0"/>
              <w:jc w:val="center"/>
              <w:rPr>
                <w:rFonts w:ascii="Calibri" w:eastAsia="Calibri" w:hAnsi="Calibri" w:cs="Calibri"/>
              </w:rPr>
            </w:pPr>
            <w:r w:rsidRPr="30D7A848">
              <w:rPr>
                <w:rFonts w:ascii="Calibri" w:eastAsia="Calibri" w:hAnsi="Calibri" w:cs="Calibri"/>
              </w:rPr>
              <w:t>Up to 15% indirect costs</w:t>
            </w:r>
          </w:p>
        </w:tc>
        <w:tc>
          <w:tcPr>
            <w:tcW w:w="123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4831CA53" w14:textId="218409F0"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7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560121FD" w14:textId="52C54250"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c>
          <w:tcPr>
            <w:tcW w:w="12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07B9C6CB" w14:textId="51F119A4"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30D7A848">
              <w:rPr>
                <w:rFonts w:ascii="Calibri" w:eastAsia="Calibri" w:hAnsi="Calibri" w:cs="Calibri"/>
              </w:rPr>
              <w:t xml:space="preserve"> </w:t>
            </w:r>
          </w:p>
        </w:tc>
        <w:tc>
          <w:tcPr>
            <w:tcW w:w="12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5E9601B7" w14:textId="52C5DFA8"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0588EB38" w14:textId="0D1CD484"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9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46008F0D" w14:textId="76766056"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r>
      <w:tr w:rsidR="30D7A848" w14:paraId="5BEDA90D" w14:textId="77777777" w:rsidTr="000A2B88">
        <w:trPr>
          <w:trHeight w:val="30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310D7645" w14:textId="2B9D6F5B" w:rsidR="30D7A848" w:rsidRDefault="30D7A848" w:rsidP="30D7A848">
            <w:pPr>
              <w:spacing w:before="0" w:after="0"/>
              <w:jc w:val="center"/>
              <w:rPr>
                <w:rFonts w:ascii="Calibri" w:eastAsia="Calibri" w:hAnsi="Calibri" w:cs="Calibri"/>
              </w:rPr>
            </w:pPr>
            <w:r w:rsidRPr="30D7A848">
              <w:rPr>
                <w:rFonts w:ascii="Calibri" w:eastAsia="Calibri" w:hAnsi="Calibri" w:cs="Calibri"/>
              </w:rPr>
              <w:t>Up to 15% travel costs</w:t>
            </w:r>
          </w:p>
        </w:tc>
        <w:tc>
          <w:tcPr>
            <w:tcW w:w="123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5CBA9A6A" w14:textId="166873E1"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7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155E530B" w14:textId="7FF44A74"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6AEF7598" w14:textId="35BF6EBA"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0BA58FA8" w14:textId="381D5E47"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 xml:space="preserve"> </w:t>
            </w:r>
          </w:p>
        </w:tc>
        <w:tc>
          <w:tcPr>
            <w:tcW w:w="1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07A601AB" w14:textId="4BAE5D70"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9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0A7C44F1" w14:textId="23294D36"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r>
      <w:tr w:rsidR="30D7A848" w14:paraId="3BEBD067" w14:textId="77777777" w:rsidTr="000A2B8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7AA2E9B8" w14:textId="1386793B" w:rsidR="30D7A848" w:rsidRDefault="30D7A848" w:rsidP="30D7A848">
            <w:pPr>
              <w:spacing w:before="0" w:after="0"/>
              <w:jc w:val="center"/>
              <w:rPr>
                <w:rFonts w:ascii="Calibri" w:eastAsia="Calibri" w:hAnsi="Calibri" w:cs="Calibri"/>
              </w:rPr>
            </w:pPr>
            <w:r w:rsidRPr="30D7A848">
              <w:rPr>
                <w:rFonts w:ascii="Calibri" w:eastAsia="Calibri" w:hAnsi="Calibri" w:cs="Calibri"/>
              </w:rPr>
              <w:t>Hourly rate staff costs</w:t>
            </w:r>
            <w:r w:rsidR="75CE8682" w:rsidRPr="30D7A848">
              <w:rPr>
                <w:rFonts w:ascii="Calibri" w:eastAsia="Calibri" w:hAnsi="Calibri" w:cs="Calibri"/>
              </w:rPr>
              <w:t>*</w:t>
            </w:r>
          </w:p>
        </w:tc>
        <w:tc>
          <w:tcPr>
            <w:tcW w:w="123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37B444EF" w14:textId="1EDAC8C8"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c>
          <w:tcPr>
            <w:tcW w:w="127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1BE070B1" w14:textId="1D1A87E6"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26AE4AAD" w14:textId="472E5034"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3ED25666" w14:textId="064498FC"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58C2497C" w14:textId="0BA6C165"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30D7A848">
              <w:rPr>
                <w:rFonts w:ascii="Calibri" w:eastAsia="Calibri" w:hAnsi="Calibri" w:cs="Calibri"/>
              </w:rPr>
              <w:t xml:space="preserve"> </w:t>
            </w:r>
          </w:p>
        </w:tc>
        <w:tc>
          <w:tcPr>
            <w:tcW w:w="129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5F4C062B" w14:textId="030E78FA" w:rsidR="30D7A848" w:rsidRDefault="30D7A848" w:rsidP="30D7A848">
            <w:pPr>
              <w:spacing w:before="0" w:after="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B050"/>
              </w:rPr>
            </w:pPr>
            <w:r w:rsidRPr="30D7A848">
              <w:rPr>
                <w:rFonts w:ascii="Calibri" w:eastAsia="Calibri" w:hAnsi="Calibri" w:cs="Calibri"/>
                <w:color w:val="00B050"/>
              </w:rPr>
              <w:t>Y</w:t>
            </w:r>
          </w:p>
        </w:tc>
      </w:tr>
      <w:tr w:rsidR="30D7A848" w14:paraId="47003A4E" w14:textId="77777777" w:rsidTr="000A2B88">
        <w:trPr>
          <w:trHeight w:val="30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3462AE79" w14:textId="3433A071" w:rsidR="30D7A848" w:rsidRDefault="30D7A848" w:rsidP="30D7A848">
            <w:pPr>
              <w:spacing w:before="0" w:after="0"/>
              <w:jc w:val="center"/>
              <w:rPr>
                <w:rFonts w:ascii="Calibri" w:eastAsia="Calibri" w:hAnsi="Calibri" w:cs="Calibri"/>
              </w:rPr>
            </w:pPr>
            <w:r w:rsidRPr="30D7A848">
              <w:rPr>
                <w:rFonts w:ascii="Calibri" w:eastAsia="Calibri" w:hAnsi="Calibri" w:cs="Calibri"/>
              </w:rPr>
              <w:t>Up to 40% all other costs</w:t>
            </w:r>
          </w:p>
        </w:tc>
        <w:tc>
          <w:tcPr>
            <w:tcW w:w="123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5CFDB781" w14:textId="406E2A9D"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c>
          <w:tcPr>
            <w:tcW w:w="127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5BCEA9D8" w14:textId="7D199B0E"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c>
          <w:tcPr>
            <w:tcW w:w="12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2C59C553" w14:textId="1F3D88A4"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c>
          <w:tcPr>
            <w:tcW w:w="120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7D2513AD" w14:textId="6F25D5AF"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rPr>
            </w:pPr>
            <w:r w:rsidRPr="30D7A848">
              <w:rPr>
                <w:rFonts w:ascii="Calibri" w:eastAsia="Calibri" w:hAnsi="Calibri" w:cs="Calibri"/>
                <w:b/>
                <w:bCs/>
                <w:color w:val="FF0000"/>
              </w:rPr>
              <w:t>N</w:t>
            </w:r>
          </w:p>
        </w:tc>
        <w:tc>
          <w:tcPr>
            <w:tcW w:w="1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60F148F8" w14:textId="27F57298"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B050"/>
              </w:rPr>
            </w:pPr>
            <w:r w:rsidRPr="30D7A848">
              <w:rPr>
                <w:rFonts w:ascii="Calibri" w:eastAsia="Calibri" w:hAnsi="Calibri" w:cs="Calibri"/>
                <w:b/>
                <w:bCs/>
                <w:color w:val="00B050"/>
              </w:rPr>
              <w:t>Y</w:t>
            </w:r>
          </w:p>
        </w:tc>
        <w:tc>
          <w:tcPr>
            <w:tcW w:w="129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62B3E42D" w14:textId="521AD857" w:rsidR="30D7A848" w:rsidRDefault="30D7A848" w:rsidP="30D7A848">
            <w:pPr>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r>
    </w:tbl>
    <w:p w14:paraId="5F5AE751" w14:textId="77777777" w:rsidR="000A2B88" w:rsidRDefault="000A2B88" w:rsidP="30D7A848">
      <w:pPr>
        <w:spacing w:before="0" w:after="200"/>
        <w:rPr>
          <w:sz w:val="18"/>
          <w:szCs w:val="18"/>
        </w:rPr>
      </w:pPr>
    </w:p>
    <w:p w14:paraId="49DBA13E" w14:textId="165CF73C" w:rsidR="000A2B88" w:rsidRDefault="000A2B88" w:rsidP="30D7A848">
      <w:pPr>
        <w:spacing w:before="0" w:after="200"/>
      </w:pPr>
      <w:r w:rsidRPr="30D7A848">
        <w:rPr>
          <w:sz w:val="18"/>
          <w:szCs w:val="18"/>
        </w:rPr>
        <w:t xml:space="preserve">* Article 55(2) CPR, </w:t>
      </w:r>
      <w:r w:rsidR="004844BA" w:rsidRPr="30D7A848">
        <w:rPr>
          <w:sz w:val="18"/>
          <w:szCs w:val="18"/>
        </w:rPr>
        <w:t>i.e</w:t>
      </w:r>
      <w:r w:rsidR="004844BA">
        <w:rPr>
          <w:sz w:val="18"/>
          <w:szCs w:val="18"/>
        </w:rPr>
        <w:t>.,</w:t>
      </w:r>
      <w:r w:rsidRPr="30D7A848">
        <w:rPr>
          <w:sz w:val="18"/>
          <w:szCs w:val="18"/>
        </w:rPr>
        <w:t xml:space="preserve"> 1720h method or hourly rate obtained by dividing the latest documented monthly gross employment cost by the average monthly working time of the operation</w:t>
      </w:r>
    </w:p>
    <w:p w14:paraId="1AFB0F65" w14:textId="3A7F3F02" w:rsidR="00465135" w:rsidRDefault="00AD0B7C" w:rsidP="30D7A848">
      <w:pPr>
        <w:spacing w:before="0" w:after="200"/>
      </w:pPr>
      <w:r>
        <w:br w:type="page"/>
      </w:r>
    </w:p>
    <w:p w14:paraId="24741E9D" w14:textId="41346CB1" w:rsidR="00340F15" w:rsidRPr="00736D3A" w:rsidRDefault="00340F15" w:rsidP="00B32403">
      <w:pPr>
        <w:pStyle w:val="Heading1"/>
        <w:rPr>
          <w:b/>
          <w:bCs/>
        </w:rPr>
      </w:pPr>
      <w:bookmarkStart w:id="29" w:name="_Toc168350307"/>
      <w:r w:rsidRPr="00736D3A">
        <w:rPr>
          <w:b/>
          <w:bCs/>
        </w:rPr>
        <w:t>Chapter 3: Setting up simplified cost options</w:t>
      </w:r>
      <w:bookmarkEnd w:id="29"/>
    </w:p>
    <w:p w14:paraId="6075BCE2" w14:textId="4A21CCF1" w:rsidR="00FF03DD" w:rsidRPr="004E6DE3" w:rsidRDefault="00FF03DD" w:rsidP="00736D3A">
      <w:pPr>
        <w:pStyle w:val="Heading2"/>
        <w:numPr>
          <w:ilvl w:val="1"/>
          <w:numId w:val="92"/>
        </w:numPr>
        <w:rPr>
          <w:b/>
          <w:bCs/>
          <w:color w:val="4472C4" w:themeColor="accent1"/>
        </w:rPr>
      </w:pPr>
      <w:bookmarkStart w:id="30" w:name="_Toc168350308"/>
      <w:r w:rsidRPr="004E6DE3">
        <w:rPr>
          <w:b/>
          <w:bCs/>
          <w:color w:val="4472C4" w:themeColor="accent1"/>
        </w:rPr>
        <w:t>Simplified cost options must be defined ex-ante</w:t>
      </w:r>
      <w:bookmarkEnd w:id="30"/>
    </w:p>
    <w:p w14:paraId="2BEC6FF4" w14:textId="77777777" w:rsidR="001C2E28" w:rsidRDefault="00E837E2" w:rsidP="0066735C">
      <w:r>
        <w:t xml:space="preserve">For the reimbursement of the Union contribution, SCOs can only be used after their approval by a Commission decision approving the programme or its amendment, or after their adoption in a Commission delegated act, Article 94(1) CPR. </w:t>
      </w:r>
    </w:p>
    <w:p w14:paraId="3FBBC4FF" w14:textId="4635323B" w:rsidR="0066735C" w:rsidRPr="001C2E28" w:rsidRDefault="00E837E2" w:rsidP="0066735C">
      <w:pPr>
        <w:rPr>
          <w:i/>
          <w:iCs/>
        </w:rPr>
      </w:pPr>
      <w:r>
        <w:t xml:space="preserve">SCOs used for the reimbursement of grants provided by the Member State to the beneficiary also </w:t>
      </w:r>
      <w:proofErr w:type="gramStart"/>
      <w:r>
        <w:t>have to</w:t>
      </w:r>
      <w:proofErr w:type="gramEnd"/>
      <w:r>
        <w:t xml:space="preserve"> be defined </w:t>
      </w:r>
      <w:r>
        <w:rPr>
          <w:i/>
          <w:iCs/>
        </w:rPr>
        <w:t>ex ante</w:t>
      </w:r>
      <w:r w:rsidR="00502F46">
        <w:rPr>
          <w:i/>
          <w:iCs/>
        </w:rPr>
        <w:t xml:space="preserve"> </w:t>
      </w:r>
      <w:r w:rsidR="00502F46">
        <w:t>(i.e., in advance)</w:t>
      </w:r>
      <w:r>
        <w:rPr>
          <w:i/>
          <w:iCs/>
        </w:rPr>
        <w:t>.</w:t>
      </w:r>
      <w:r w:rsidR="001C2E28">
        <w:rPr>
          <w:i/>
          <w:iCs/>
        </w:rPr>
        <w:t xml:space="preserve"> </w:t>
      </w:r>
      <w:r w:rsidR="0066735C" w:rsidRPr="0066735C">
        <w:t>In accordance with Article 73(3) CPR and Article 22(6) Interreg Regulation for the Interreg programmes, the managing authority must ensure that the beneficiary or lead partner of an Interreg operation is provided with a document setting out the conditions for support for each operation. In this document, it is important to communicate to the beneficiaries the exact requirements for substantiating the declared expenditure and the specific output or outcome to be reached.</w:t>
      </w:r>
    </w:p>
    <w:p w14:paraId="218138A4" w14:textId="45975143" w:rsidR="0066735C" w:rsidRPr="0066735C" w:rsidRDefault="0066735C" w:rsidP="0066735C">
      <w:pPr>
        <w:ind w:left="851"/>
      </w:pPr>
      <w:r>
        <w:rPr>
          <w:noProof/>
          <w:color w:val="2B579A"/>
          <w:shd w:val="clear" w:color="auto" w:fill="E6E6E6"/>
        </w:rPr>
        <w:drawing>
          <wp:anchor distT="0" distB="0" distL="114300" distR="114300" simplePos="0" relativeHeight="251628032" behindDoc="0" locked="0" layoutInCell="1" allowOverlap="1" wp14:anchorId="3CBE1213" wp14:editId="25FF1BF0">
            <wp:simplePos x="0" y="0"/>
            <wp:positionH relativeFrom="margin">
              <wp:align>left</wp:align>
            </wp:positionH>
            <wp:positionV relativeFrom="paragraph">
              <wp:posOffset>73798</wp:posOffset>
            </wp:positionV>
            <wp:extent cx="406400" cy="406400"/>
            <wp:effectExtent l="0" t="0" r="0" b="0"/>
            <wp:wrapSquare wrapText="bothSides"/>
            <wp:docPr id="11" name="Graphic 11" descr="Magnifying glas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descr="Magnifying glass with solid fill"/>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406400" cy="406400"/>
                    </a:xfrm>
                    <a:prstGeom prst="rect">
                      <a:avLst/>
                    </a:prstGeom>
                  </pic:spPr>
                </pic:pic>
              </a:graphicData>
            </a:graphic>
            <wp14:sizeRelH relativeFrom="margin">
              <wp14:pctWidth>0</wp14:pctWidth>
            </wp14:sizeRelH>
            <wp14:sizeRelV relativeFrom="margin">
              <wp14:pctHeight>0</wp14:pctHeight>
            </wp14:sizeRelV>
          </wp:anchor>
        </w:drawing>
      </w:r>
      <w:r w:rsidRPr="0066735C">
        <w:t xml:space="preserve">In line with Article 73(3) CPR and Article 22(6) Interreg Regulation for the Interreg programmes, the method to be applied for determining the costs of the operation and the conditions for payment must be included </w:t>
      </w:r>
      <w:r w:rsidRPr="00A008B1">
        <w:rPr>
          <w:b/>
          <w:bCs/>
          <w:color w:val="4472C4" w:themeColor="accent1"/>
        </w:rPr>
        <w:t>at the latest in the document setting out the conditions for support</w:t>
      </w:r>
      <w:r w:rsidRPr="00A008B1">
        <w:rPr>
          <w:color w:val="4472C4" w:themeColor="accent1"/>
        </w:rPr>
        <w:t xml:space="preserve">. </w:t>
      </w:r>
      <w:r w:rsidRPr="0066735C">
        <w:t>The relevant methods and conditions should be incorporated in the programme eligibility rules.</w:t>
      </w:r>
    </w:p>
    <w:p w14:paraId="0E527DB0" w14:textId="64059D96" w:rsidR="0013441D" w:rsidRDefault="00CC5A46" w:rsidP="0066735C">
      <w:r>
        <w:t xml:space="preserve">However, </w:t>
      </w:r>
      <w:proofErr w:type="gramStart"/>
      <w:r>
        <w:t>in order to</w:t>
      </w:r>
      <w:proofErr w:type="gramEnd"/>
      <w:r>
        <w:t xml:space="preserve"> ensure respect of the principle of transparency and equal treatment, </w:t>
      </w:r>
      <w:r w:rsidR="0066735C" w:rsidRPr="00CB15A9">
        <w:rPr>
          <w:b/>
          <w:bCs/>
          <w:color w:val="4472C4" w:themeColor="accent1"/>
        </w:rPr>
        <w:t>the use of simplified cost options should be mentioned in the calls for proposals addressed to the potential beneficiaries</w:t>
      </w:r>
      <w:r>
        <w:rPr>
          <w:b/>
          <w:bCs/>
          <w:color w:val="4472C4" w:themeColor="accent1"/>
        </w:rPr>
        <w:t>.</w:t>
      </w:r>
    </w:p>
    <w:p w14:paraId="6C878A3E" w14:textId="4C7B974A" w:rsidR="075FADC0" w:rsidRDefault="10F57243" w:rsidP="4AF773E3">
      <w:r>
        <w:t xml:space="preserve">In addition, retroactive application for operations already selected and being implemented </w:t>
      </w:r>
      <w:proofErr w:type="gramStart"/>
      <w:r>
        <w:t>on the basis of</w:t>
      </w:r>
      <w:proofErr w:type="gramEnd"/>
      <w:r>
        <w:t xml:space="preserve"> real costs should be avoided as equal treatment of beneficiaries may not be ensured. The CPR does not exclude the possibility of accepting the use of simplified costs options, for an operation for which implementation has already started. Article 63(6) CPR needs to be observed providing that operations </w:t>
      </w:r>
      <w:r w:rsidR="1A6F9E4E">
        <w:t xml:space="preserve">should </w:t>
      </w:r>
      <w:r>
        <w:t>not be selected for support by the Funds where they have been physically completed or fully implemented before the application for funding under the programme is submitted</w:t>
      </w:r>
      <w:r w:rsidR="0051D901">
        <w:t>.</w:t>
      </w:r>
      <w:r>
        <w:t xml:space="preserve"> </w:t>
      </w:r>
      <w:r w:rsidR="6971F1FB">
        <w:t>S</w:t>
      </w:r>
      <w:r w:rsidR="701E393A">
        <w:t>implified cost option</w:t>
      </w:r>
      <w:r w:rsidR="6971F1FB">
        <w:t xml:space="preserve">s, covering also eligible expenditure incurred by beneficiaries before operations were selected, can be used in such operations and in some cases, their use is mandatory (see </w:t>
      </w:r>
      <w:r w:rsidR="0FD6026B">
        <w:t>section</w:t>
      </w:r>
      <w:r w:rsidR="452455FC">
        <w:t xml:space="preserve"> 1.4</w:t>
      </w:r>
      <w:r w:rsidR="6971F1FB">
        <w:t>).</w:t>
      </w:r>
      <w:r w:rsidR="7E3DC3F3">
        <w:t xml:space="preserve"> Whether expenditure had already been incurred by beneficiaries before the call was launched is irrelevant for the use of the </w:t>
      </w:r>
      <w:r w:rsidR="142DC2B3">
        <w:t>simplified cost options</w:t>
      </w:r>
      <w:r w:rsidR="7E3DC3F3">
        <w:t xml:space="preserve">, </w:t>
      </w:r>
      <w:proofErr w:type="gramStart"/>
      <w:r w:rsidR="7E3DC3F3">
        <w:t>as long as</w:t>
      </w:r>
      <w:proofErr w:type="gramEnd"/>
      <w:r w:rsidR="7E3DC3F3">
        <w:t xml:space="preserve"> the actions constituting the basis for reimbursement are to be carried out within the eligibility period (Article 63(2) CPR)</w:t>
      </w:r>
      <w:r w:rsidR="50F8D38F">
        <w:t xml:space="preserve"> and this expenditure </w:t>
      </w:r>
      <w:r w:rsidR="7E3DC3F3">
        <w:t xml:space="preserve">was not part of the expenditure </w:t>
      </w:r>
      <w:r w:rsidR="5DBD4895">
        <w:t>previously declared to the Commission</w:t>
      </w:r>
      <w:r w:rsidR="11B07756">
        <w:t>.</w:t>
      </w:r>
    </w:p>
    <w:p w14:paraId="22683FF2" w14:textId="77777777" w:rsidR="0066735C" w:rsidRPr="0066735C" w:rsidRDefault="0066735C" w:rsidP="0066735C">
      <w:proofErr w:type="gramStart"/>
      <w:r w:rsidRPr="0066735C">
        <w:t>On the basis of</w:t>
      </w:r>
      <w:proofErr w:type="gramEnd"/>
      <w:r w:rsidRPr="0066735C">
        <w:t xml:space="preserve"> the above, beneficiaries who are already implementing operations before the conditions for support have been set out in the grant decision, may use simplified cost options, provided that the national authorities ensure equal treatment between all beneficiaries concerned.</w:t>
      </w:r>
    </w:p>
    <w:p w14:paraId="18E23469" w14:textId="0AD3512B" w:rsidR="0066735C" w:rsidRPr="0066735C" w:rsidRDefault="0066735C" w:rsidP="0066735C">
      <w:r w:rsidRPr="0066735C">
        <w:t>Once the standard scales of unit cost</w:t>
      </w:r>
      <w:r w:rsidR="006514D7">
        <w:t xml:space="preserve">, </w:t>
      </w:r>
      <w:r w:rsidRPr="0066735C">
        <w:t xml:space="preserve">the flat </w:t>
      </w:r>
      <w:proofErr w:type="gramStart"/>
      <w:r w:rsidRPr="0066735C">
        <w:t>rate</w:t>
      </w:r>
      <w:proofErr w:type="gramEnd"/>
      <w:r w:rsidRPr="0066735C">
        <w:t xml:space="preserve"> or the amount (in the case of lump sums) are established, the</w:t>
      </w:r>
      <w:r w:rsidR="006514D7">
        <w:t>y</w:t>
      </w:r>
      <w:r w:rsidRPr="0066735C">
        <w:t xml:space="preserve"> may not be changed during or after the implementation of an operation to compensate for an increase in costs or underutilisation of the available budget, unless an adjustment over time is clearly expressed in the call for proposals</w:t>
      </w:r>
      <w:r w:rsidR="00851DB0">
        <w:t xml:space="preserve"> (on adjustment methods, please refer to section 3.4. of this Guidance Note)</w:t>
      </w:r>
      <w:r w:rsidRPr="0066735C">
        <w:t>.</w:t>
      </w:r>
      <w:r w:rsidRPr="0066735C">
        <w:rPr>
          <w:vertAlign w:val="superscript"/>
        </w:rPr>
        <w:footnoteReference w:id="15"/>
      </w:r>
      <w:r w:rsidRPr="0066735C">
        <w:t xml:space="preserve"> Exceptionally, in the case of multiannual operations, it is possible to settle the accounts and the corresponding activities of the operation after a first part of the operation has been carried out and then to introduce the option of flat rate financing, standard scales of unit costs or lump sums for the remaining part/period of the operation. In such </w:t>
      </w:r>
      <w:r w:rsidRPr="0066735C">
        <w:lastRenderedPageBreak/>
        <w:t xml:space="preserve">cases, the period for which real costs are declared should be clearly separated from the period for which costs are declared </w:t>
      </w:r>
      <w:proofErr w:type="gramStart"/>
      <w:r w:rsidRPr="0066735C">
        <w:t>on the basis of</w:t>
      </w:r>
      <w:proofErr w:type="gramEnd"/>
      <w:r w:rsidRPr="0066735C">
        <w:t xml:space="preserve"> simplified cost options, in order to avoid project costs being declared twice</w:t>
      </w:r>
      <w:r w:rsidR="009B1272">
        <w:t>.</w:t>
      </w:r>
    </w:p>
    <w:p w14:paraId="49C604DD" w14:textId="5A8C151E" w:rsidR="00FF03DD" w:rsidRDefault="00EA2F1E" w:rsidP="00736D3A">
      <w:pPr>
        <w:pStyle w:val="Heading2"/>
        <w:numPr>
          <w:ilvl w:val="1"/>
          <w:numId w:val="92"/>
        </w:numPr>
        <w:rPr>
          <w:b/>
          <w:bCs/>
          <w:color w:val="4472C4" w:themeColor="accent1"/>
        </w:rPr>
      </w:pPr>
      <w:bookmarkStart w:id="31" w:name="_Ref163561643"/>
      <w:bookmarkStart w:id="32" w:name="_Toc168350309"/>
      <w:r w:rsidRPr="004E6DE3">
        <w:rPr>
          <w:b/>
          <w:bCs/>
          <w:color w:val="4472C4" w:themeColor="accent1"/>
        </w:rPr>
        <w:t>Methodologies</w:t>
      </w:r>
      <w:bookmarkEnd w:id="31"/>
      <w:bookmarkEnd w:id="32"/>
      <w:r w:rsidRPr="004E6DE3">
        <w:rPr>
          <w:b/>
          <w:bCs/>
          <w:color w:val="4472C4" w:themeColor="accent1"/>
        </w:rPr>
        <w:t xml:space="preserve"> </w:t>
      </w:r>
    </w:p>
    <w:p w14:paraId="15FE6D19" w14:textId="2F02CB9C" w:rsidR="00804B53" w:rsidRPr="00804B53" w:rsidRDefault="1CA13047" w:rsidP="00804B53">
      <w:r>
        <w:t xml:space="preserve">The methodologies for establishing SCOs are set out in Article 53(3) CPR and Article 94(2) CPR. </w:t>
      </w:r>
      <w:r w:rsidR="18A4916D">
        <w:t xml:space="preserve">In general, these methodologies are the same for setting up SCOs at lower and </w:t>
      </w:r>
      <w:r w:rsidR="1919EB68">
        <w:t xml:space="preserve">at </w:t>
      </w:r>
      <w:r w:rsidR="18A4916D">
        <w:t>upper level (with some exceptions that are specifically indicated in this section).</w:t>
      </w:r>
    </w:p>
    <w:p w14:paraId="1F0A699D" w14:textId="3E34F351" w:rsidR="00FF03DD" w:rsidRPr="00736D3A" w:rsidRDefault="00EA2F1E" w:rsidP="00736D3A">
      <w:pPr>
        <w:pStyle w:val="Heading3"/>
        <w:numPr>
          <w:ilvl w:val="2"/>
          <w:numId w:val="92"/>
        </w:numPr>
        <w:rPr>
          <w:color w:val="4472C4" w:themeColor="accent1"/>
        </w:rPr>
      </w:pPr>
      <w:bookmarkStart w:id="33" w:name="_Toc168350310"/>
      <w:r w:rsidRPr="00736D3A">
        <w:rPr>
          <w:color w:val="4472C4" w:themeColor="accent1"/>
        </w:rPr>
        <w:t>A fair, equitable an</w:t>
      </w:r>
      <w:r w:rsidR="00DF1038" w:rsidRPr="00736D3A">
        <w:rPr>
          <w:color w:val="4472C4" w:themeColor="accent1"/>
        </w:rPr>
        <w:t>d v</w:t>
      </w:r>
      <w:r w:rsidRPr="00736D3A">
        <w:rPr>
          <w:color w:val="4472C4" w:themeColor="accent1"/>
        </w:rPr>
        <w:t>erifiable calculation method</w:t>
      </w:r>
      <w:bookmarkEnd w:id="33"/>
    </w:p>
    <w:p w14:paraId="2CA598EF" w14:textId="1D7AD8CC" w:rsidR="00633CC0" w:rsidRDefault="00633CC0" w:rsidP="00633CC0">
      <w:pPr>
        <w:pStyle w:val="Style3"/>
      </w:pPr>
      <w:r>
        <w:t>General Principles</w:t>
      </w:r>
    </w:p>
    <w:p w14:paraId="65F0AA8F" w14:textId="1BEA8B3C" w:rsidR="00633CC0" w:rsidRDefault="00633CC0" w:rsidP="00633CC0">
      <w:pPr>
        <w:jc w:val="left"/>
        <w:rPr>
          <w:b/>
          <w:bCs/>
          <w:color w:val="4472C4" w:themeColor="accent1"/>
        </w:rPr>
      </w:pPr>
      <w:r>
        <w:rPr>
          <w:b/>
          <w:bCs/>
          <w:color w:val="4472C4" w:themeColor="accent1"/>
        </w:rPr>
        <w:t xml:space="preserve">It must be fair: </w:t>
      </w:r>
    </w:p>
    <w:p w14:paraId="72C9219C" w14:textId="4BCD47E9" w:rsidR="00633CC0" w:rsidRPr="00633CC0" w:rsidRDefault="00633CC0" w:rsidP="004E0E7E">
      <w:pPr>
        <w:rPr>
          <w:b/>
          <w:bCs/>
        </w:rPr>
      </w:pPr>
      <w:r w:rsidRPr="00633CC0">
        <w:t xml:space="preserve">The calculation </w:t>
      </w:r>
      <w:proofErr w:type="gramStart"/>
      <w:r w:rsidRPr="00633CC0">
        <w:t>has to</w:t>
      </w:r>
      <w:proofErr w:type="gramEnd"/>
      <w:r w:rsidRPr="00633CC0">
        <w:t xml:space="preserve"> be reasonable, i.e.</w:t>
      </w:r>
      <w:r w:rsidR="004F19A0">
        <w:t>,</w:t>
      </w:r>
      <w:r w:rsidRPr="00633CC0">
        <w:t xml:space="preserve"> based on reality, not excessive or extreme. </w:t>
      </w:r>
      <w:r w:rsidRPr="00633CC0">
        <w:rPr>
          <w:bCs/>
        </w:rPr>
        <w:t>If a given standard scales of unit cost has in the past worked out at between EUR 1 and EUR 2, the Commission would not expect to see a scale of EUR 7. From this point of view, the method used for identifying the unit cost, the flat rate, or the lump sum will be of the utmost importance. The managing authority</w:t>
      </w:r>
      <w:r w:rsidR="004F19A0">
        <w:rPr>
          <w:bCs/>
        </w:rPr>
        <w:t xml:space="preserve"> (or the monitoring committee for Interreg programmes)</w:t>
      </w:r>
      <w:r w:rsidRPr="00633CC0">
        <w:rPr>
          <w:bCs/>
        </w:rPr>
        <w:t xml:space="preserve"> must be able to explain and to justify its choices. An ‘ideal’ fair calculation method could adapt the rates to specific conditions or needs. For example, the execution of a project may cost more in a remote region than in a central region because of higher transport costs; this element should be </w:t>
      </w:r>
      <w:proofErr w:type="gramStart"/>
      <w:r w:rsidRPr="00633CC0">
        <w:rPr>
          <w:bCs/>
        </w:rPr>
        <w:t>taken into account</w:t>
      </w:r>
      <w:proofErr w:type="gramEnd"/>
      <w:r w:rsidRPr="00633CC0">
        <w:rPr>
          <w:bCs/>
        </w:rPr>
        <w:t xml:space="preserve"> when deciding on a lump sum or rate to be paid for similar projects in the two regions.</w:t>
      </w:r>
    </w:p>
    <w:p w14:paraId="760FBC0D" w14:textId="7CEBE3D9" w:rsidR="00633CC0" w:rsidRDefault="00633CC0" w:rsidP="004E0E7E">
      <w:pPr>
        <w:rPr>
          <w:b/>
          <w:bCs/>
          <w:color w:val="4472C4" w:themeColor="accent1"/>
        </w:rPr>
      </w:pPr>
      <w:r>
        <w:rPr>
          <w:b/>
          <w:bCs/>
          <w:color w:val="4472C4" w:themeColor="accent1"/>
        </w:rPr>
        <w:t>It must be equitable:</w:t>
      </w:r>
    </w:p>
    <w:p w14:paraId="540243F3" w14:textId="73226AE4" w:rsidR="00633CC0" w:rsidRDefault="00633CC0" w:rsidP="004E0E7E">
      <w:r w:rsidRPr="00633CC0">
        <w:t xml:space="preserve">The main notion underlying the term ‘equitable’ is that it does not favour some beneficiaries or operations over others. The calculation of the standard scales of unit cost, lump sum or flat rate </w:t>
      </w:r>
      <w:proofErr w:type="gramStart"/>
      <w:r w:rsidRPr="00633CC0">
        <w:t>has to</w:t>
      </w:r>
      <w:proofErr w:type="gramEnd"/>
      <w:r w:rsidRPr="00633CC0">
        <w:t xml:space="preserve"> ensure equal treatment of beneficiaries and/or operations. Any differences in the amounts or rates should be based on objective justifications, i.e., objective features of the beneficiaries or operations.</w:t>
      </w:r>
    </w:p>
    <w:p w14:paraId="5DAC36BE" w14:textId="2C5FF758" w:rsidR="00633CC0" w:rsidRDefault="00633CC0" w:rsidP="004E0E7E">
      <w:pPr>
        <w:rPr>
          <w:b/>
          <w:bCs/>
          <w:color w:val="4472C4" w:themeColor="accent1"/>
        </w:rPr>
      </w:pPr>
      <w:r>
        <w:rPr>
          <w:b/>
          <w:bCs/>
          <w:color w:val="4472C4" w:themeColor="accent1"/>
        </w:rPr>
        <w:t>It must be verifiable:</w:t>
      </w:r>
    </w:p>
    <w:p w14:paraId="4A5A8E7E" w14:textId="2867CD48" w:rsidR="00633CC0" w:rsidRDefault="00633CC0" w:rsidP="004E0E7E">
      <w:r w:rsidRPr="00633CC0">
        <w:t>The determination of flat rates, standard scales of unit costs or lump sums should be based on documentary evidence that can be verified.</w:t>
      </w:r>
      <w:r w:rsidRPr="00633CC0">
        <w:rPr>
          <w:vertAlign w:val="superscript"/>
        </w:rPr>
        <w:footnoteReference w:id="16"/>
      </w:r>
      <w:r w:rsidRPr="00633CC0">
        <w:t xml:space="preserve"> The managing authority </w:t>
      </w:r>
      <w:proofErr w:type="gramStart"/>
      <w:r w:rsidRPr="00633CC0">
        <w:t>has to</w:t>
      </w:r>
      <w:proofErr w:type="gramEnd"/>
      <w:r w:rsidRPr="00633CC0">
        <w:t xml:space="preserve"> be able to demonstrate the basis on which the simplified cost option has been established. It is a key issue to ensure compliance with the principle of sound financial management. </w:t>
      </w:r>
    </w:p>
    <w:p w14:paraId="4FFC0CA7" w14:textId="77777777" w:rsidR="00633CC0" w:rsidRPr="00AF4E70" w:rsidRDefault="00633CC0" w:rsidP="00502F46">
      <w:pPr>
        <w:spacing w:before="240"/>
      </w:pPr>
      <w:r w:rsidRPr="00AF4E70">
        <w:t>The body determining the simplified cost option method should document as a minimum:</w:t>
      </w:r>
    </w:p>
    <w:p w14:paraId="49B47904" w14:textId="77777777" w:rsidR="00633CC0" w:rsidRPr="00633CC0" w:rsidRDefault="00633CC0" w:rsidP="00502F46">
      <w:pPr>
        <w:pStyle w:val="ListParagraph"/>
        <w:numPr>
          <w:ilvl w:val="0"/>
          <w:numId w:val="33"/>
        </w:numPr>
      </w:pPr>
      <w:r w:rsidRPr="00633CC0">
        <w:t xml:space="preserve">The description of the calculation method, including key steps of the </w:t>
      </w:r>
      <w:proofErr w:type="gramStart"/>
      <w:r w:rsidRPr="00633CC0">
        <w:t>calculation;</w:t>
      </w:r>
      <w:proofErr w:type="gramEnd"/>
    </w:p>
    <w:p w14:paraId="456490CA" w14:textId="77777777" w:rsidR="00633CC0" w:rsidRPr="00633CC0" w:rsidRDefault="00633CC0" w:rsidP="00502F46">
      <w:pPr>
        <w:pStyle w:val="ListParagraph"/>
        <w:numPr>
          <w:ilvl w:val="0"/>
          <w:numId w:val="33"/>
        </w:numPr>
      </w:pPr>
      <w:r w:rsidRPr="00633CC0">
        <w:t xml:space="preserve">The sources of the data used for the analysis and the calculations, including an assessment of the relevance of the data to the envisaged operations, and an assessment of the quality of the </w:t>
      </w:r>
      <w:proofErr w:type="gramStart"/>
      <w:r w:rsidRPr="00633CC0">
        <w:t>data;</w:t>
      </w:r>
      <w:proofErr w:type="gramEnd"/>
    </w:p>
    <w:p w14:paraId="6A72C4FD" w14:textId="74E1C2D8" w:rsidR="00633CC0" w:rsidRDefault="00633CC0" w:rsidP="00633CC0">
      <w:pPr>
        <w:pStyle w:val="ListParagraph"/>
        <w:numPr>
          <w:ilvl w:val="0"/>
          <w:numId w:val="33"/>
        </w:numPr>
      </w:pPr>
      <w:r w:rsidRPr="00633CC0">
        <w:t>The calculation itself to determine the value of the simplified cost option.</w:t>
      </w:r>
    </w:p>
    <w:p w14:paraId="69DFF81C" w14:textId="3CA12402" w:rsidR="00AA090B" w:rsidRDefault="000A3240" w:rsidP="00AA090B">
      <w:pPr>
        <w:pStyle w:val="Style3"/>
      </w:pPr>
      <w:r>
        <w:t>Sources of Data</w:t>
      </w:r>
    </w:p>
    <w:p w14:paraId="40E02EBD" w14:textId="28FA6FDD" w:rsidR="000A3240" w:rsidRPr="000A3240" w:rsidRDefault="000A3240" w:rsidP="000A3240">
      <w:r w:rsidRPr="000A3240">
        <w:t xml:space="preserve">When setting up simplified cost options, the data used needs to be relevant for the SCO considered. The sources of data used for the calculation – including an assessment of the relevance of the data to the envisaged operations and an assessment of the quality of the data – should be provided and documented. </w:t>
      </w:r>
    </w:p>
    <w:p w14:paraId="736DECFC" w14:textId="030707BD" w:rsidR="000A3240" w:rsidRPr="000A3240" w:rsidRDefault="000A3240" w:rsidP="000A3240">
      <w:r>
        <w:lastRenderedPageBreak/>
        <w:t xml:space="preserve">There is no </w:t>
      </w:r>
      <w:r w:rsidR="4E78A0FE">
        <w:t xml:space="preserve">predefined </w:t>
      </w:r>
      <w:r>
        <w:t xml:space="preserve">minimum </w:t>
      </w:r>
      <w:r w:rsidR="6455B162">
        <w:t xml:space="preserve">set of </w:t>
      </w:r>
      <w:r>
        <w:t xml:space="preserve">data required to calculate simplified cost options. </w:t>
      </w:r>
    </w:p>
    <w:p w14:paraId="5B298811" w14:textId="5A70B175" w:rsidR="000A3240" w:rsidRPr="000A3240" w:rsidRDefault="000A3240" w:rsidP="000A3240">
      <w:r>
        <w:t>Data can be taken from various sources. Reliability of data used will depend on the source of data used. For example, data coming from national statistical offices or EUROSTAT can be considered reliable. For some sources of data, more detailed checks could be needed to confirm the reliability of data. In some cases, the professional judgement of the audit authority could be used to decide whether additional checks on a sample basis should be carried out or not (</w:t>
      </w:r>
      <w:proofErr w:type="gramStart"/>
      <w:r>
        <w:t>taking into account</w:t>
      </w:r>
      <w:proofErr w:type="gramEnd"/>
      <w:r>
        <w:t xml:space="preserve"> any information available to the audit authority on the type of data, the way of compilation, internal procedures of bodies for approving the provided information etc.).</w:t>
      </w:r>
      <w:r w:rsidR="0039068C">
        <w:t xml:space="preserve"> However, the</w:t>
      </w:r>
      <w:r w:rsidR="00F567A8">
        <w:t xml:space="preserve"> ex-ante</w:t>
      </w:r>
      <w:r w:rsidR="0039068C">
        <w:t xml:space="preserve"> assessment of </w:t>
      </w:r>
      <w:r w:rsidR="00F567A8">
        <w:t xml:space="preserve">the methodology by </w:t>
      </w:r>
      <w:r w:rsidR="0039068C">
        <w:t>the audit authority is not mandatory (but recommended) for the establishment of SCOs at lower level.</w:t>
      </w:r>
    </w:p>
    <w:p w14:paraId="63E0895F" w14:textId="3D5E94D3" w:rsidR="00633CC0" w:rsidRDefault="000A3240" w:rsidP="00633CC0">
      <w:r w:rsidRPr="000A3240">
        <w:t>When data coming from reliable sources (for example, published reports and official internet databases) are not used directly as such (i.e.</w:t>
      </w:r>
      <w:r w:rsidR="00306DB0">
        <w:t>,</w:t>
      </w:r>
      <w:r w:rsidRPr="000A3240">
        <w:t xml:space="preserve"> automatically generated from the source’s database) but are compiled to a unified form by hand, it would be a good practice to compare (on a sample basis) whether the compiled numbers are in line with official reports. As, however, this will not always be practically easy to do, the audit authority, in case it assesses the methodology ex-ante, may use their professional judgement to decide whether additional check on the sample basis should be carried out or not taking into account any information available to the audit authority on the type of data, the way of compilation, internal procedures of a body  compiling the provided information, etc.).</w:t>
      </w:r>
    </w:p>
    <w:p w14:paraId="36A2CBE5" w14:textId="09B2BBBF" w:rsidR="004844BA" w:rsidRDefault="002A3BFF" w:rsidP="004844BA">
      <w:pPr>
        <w:pStyle w:val="Style3"/>
      </w:pPr>
      <w:r w:rsidRPr="004844BA">
        <w:t>The use of ‘statistical’</w:t>
      </w:r>
      <w:r w:rsidR="0B92BA7F" w:rsidRPr="004844BA">
        <w:t>,</w:t>
      </w:r>
      <w:r w:rsidR="20F07984" w:rsidRPr="004844BA">
        <w:t xml:space="preserve"> VERIFIED HISTORICAL </w:t>
      </w:r>
      <w:r w:rsidRPr="004844BA">
        <w:t>data</w:t>
      </w:r>
      <w:r w:rsidR="00F77DCE" w:rsidRPr="004844BA">
        <w:t xml:space="preserve"> oR USUAL COST ACCOUNTING PRA</w:t>
      </w:r>
      <w:r w:rsidR="2E343E1A" w:rsidRPr="004844BA">
        <w:t>c</w:t>
      </w:r>
      <w:r w:rsidR="00F77DCE" w:rsidRPr="004844BA">
        <w:t>TICES</w:t>
      </w:r>
      <w:r w:rsidR="401E4F13" w:rsidRPr="004844BA">
        <w:t xml:space="preserve"> </w:t>
      </w:r>
    </w:p>
    <w:p w14:paraId="245F26D4" w14:textId="33CA8057" w:rsidR="00D1602A" w:rsidRDefault="6D1F6F70" w:rsidP="7A56C7E6">
      <w:r>
        <w:t xml:space="preserve">When establishing their SCOs, managing authorities can use several sources </w:t>
      </w:r>
      <w:r w:rsidR="3C10EE50">
        <w:t>of data: statistical data</w:t>
      </w:r>
      <w:r w:rsidR="2882666E">
        <w:t xml:space="preserve"> (from different sources)</w:t>
      </w:r>
      <w:r w:rsidR="3C10EE50">
        <w:t xml:space="preserve">, </w:t>
      </w:r>
      <w:r w:rsidR="0D4655C5">
        <w:t>verified historical data (on projects or operations funded from a CPR Fund)</w:t>
      </w:r>
      <w:r w:rsidR="16AD1DF7">
        <w:t xml:space="preserve"> or usual cost accounting practices. </w:t>
      </w:r>
      <w:r w:rsidR="0D4655C5">
        <w:t xml:space="preserve"> </w:t>
      </w:r>
      <w:r w:rsidR="004844BA">
        <w:t xml:space="preserve"> </w:t>
      </w:r>
    </w:p>
    <w:p w14:paraId="4563EC51" w14:textId="2ABD5F86" w:rsidR="6816C8E0" w:rsidRDefault="6816C8E0" w:rsidP="7A56C7E6">
      <w:pPr>
        <w:spacing w:before="240"/>
      </w:pPr>
      <w:r>
        <w:t xml:space="preserve">When a managing authority decides to use </w:t>
      </w:r>
      <w:r w:rsidR="6E279817">
        <w:t>statistical or historical verified data</w:t>
      </w:r>
      <w:r>
        <w:t>, it should describe:</w:t>
      </w:r>
    </w:p>
    <w:p w14:paraId="215D6FB9" w14:textId="77777777" w:rsidR="6816C8E0" w:rsidRDefault="6816C8E0" w:rsidP="7A56C7E6">
      <w:pPr>
        <w:pStyle w:val="ListParagraph"/>
        <w:numPr>
          <w:ilvl w:val="0"/>
          <w:numId w:val="38"/>
        </w:numPr>
      </w:pPr>
      <w:r>
        <w:t xml:space="preserve">the categories of costs </w:t>
      </w:r>
      <w:proofErr w:type="gramStart"/>
      <w:r>
        <w:t>covered;</w:t>
      </w:r>
      <w:proofErr w:type="gramEnd"/>
    </w:p>
    <w:p w14:paraId="75612F77" w14:textId="77777777" w:rsidR="6816C8E0" w:rsidRDefault="6816C8E0" w:rsidP="7A56C7E6">
      <w:pPr>
        <w:pStyle w:val="ListParagraph"/>
        <w:numPr>
          <w:ilvl w:val="0"/>
          <w:numId w:val="38"/>
        </w:numPr>
      </w:pPr>
      <w:r>
        <w:t xml:space="preserve">the calculation method </w:t>
      </w:r>
      <w:proofErr w:type="gramStart"/>
      <w:r>
        <w:t>used;</w:t>
      </w:r>
      <w:proofErr w:type="gramEnd"/>
    </w:p>
    <w:p w14:paraId="2580DB48" w14:textId="77777777" w:rsidR="6816C8E0" w:rsidRDefault="6816C8E0" w:rsidP="7A56C7E6">
      <w:pPr>
        <w:pStyle w:val="ListParagraph"/>
        <w:numPr>
          <w:ilvl w:val="0"/>
          <w:numId w:val="38"/>
        </w:numPr>
      </w:pPr>
      <w:r>
        <w:t xml:space="preserve">the length of the series to be obtained: accounting </w:t>
      </w:r>
      <w:r w:rsidRPr="004844BA">
        <w:rPr>
          <w:b/>
          <w:bCs/>
          <w:color w:val="4472C4" w:themeColor="accent1"/>
        </w:rPr>
        <w:t>data over at least three years</w:t>
      </w:r>
      <w:r>
        <w:t xml:space="preserve"> should be obtained </w:t>
      </w:r>
      <w:proofErr w:type="gramStart"/>
      <w:r>
        <w:t>so as to</w:t>
      </w:r>
      <w:proofErr w:type="gramEnd"/>
      <w:r>
        <w:t xml:space="preserve"> identify any potential exceptional circumstance which would have affected actual costs in a specific year as well as the tendencies in the cost amounts. The three-year reference period should be used </w:t>
      </w:r>
      <w:proofErr w:type="gramStart"/>
      <w:r>
        <w:t>in order to</w:t>
      </w:r>
      <w:proofErr w:type="gramEnd"/>
      <w:r>
        <w:t xml:space="preserve"> take yearly fluctuations into account. However, if the managing authority can demonstrate that the use of data over a period of less than three years is justified, this can be acceptable. For example, where a new programme has been set up and data for only 2 years is available, this could suffice; where three-year data do not exist, depending on the particularities of the case, 2-year data may be accepted. However, this needs to be assessed on a case-by-case basis.</w:t>
      </w:r>
    </w:p>
    <w:p w14:paraId="53FA024A" w14:textId="77777777" w:rsidR="6816C8E0" w:rsidRDefault="6816C8E0" w:rsidP="7A56C7E6">
      <w:pPr>
        <w:pStyle w:val="ListParagraph"/>
        <w:numPr>
          <w:ilvl w:val="0"/>
          <w:numId w:val="38"/>
        </w:numPr>
      </w:pPr>
      <w:r>
        <w:t xml:space="preserve">the reference amount to be applied, for example the average costs over the reference period or the costs as registered over the last </w:t>
      </w:r>
      <w:proofErr w:type="gramStart"/>
      <w:r>
        <w:t>years;</w:t>
      </w:r>
      <w:proofErr w:type="gramEnd"/>
    </w:p>
    <w:p w14:paraId="3DD74C00" w14:textId="5173B516" w:rsidR="00936403" w:rsidRDefault="4B868C4C" w:rsidP="00525232">
      <w:pPr>
        <w:pStyle w:val="ListParagraph"/>
        <w:numPr>
          <w:ilvl w:val="0"/>
          <w:numId w:val="38"/>
        </w:numPr>
      </w:pPr>
      <w:r>
        <w:t>adaptations, if any, that are needed to update the reference amount. Adjustment may be applied to update costs from previous years to current prices.</w:t>
      </w:r>
    </w:p>
    <w:p w14:paraId="249484CE" w14:textId="77777777" w:rsidR="004844BA" w:rsidRDefault="54E9DFFB" w:rsidP="00525232">
      <w:r>
        <w:t xml:space="preserve">According to Article 53(3)a(ii) and (iii), the managing authority can also use </w:t>
      </w:r>
      <w:r w:rsidR="23F84EC8">
        <w:t xml:space="preserve">individual beneficiary-specific data to establish SCOs </w:t>
      </w:r>
      <w:r w:rsidR="00B2478C">
        <w:t xml:space="preserve">applied to individual beneficiaries. </w:t>
      </w:r>
      <w:r w:rsidR="771401EB">
        <w:t>G</w:t>
      </w:r>
      <w:r w:rsidR="00B2478C">
        <w:t xml:space="preserve">iven the requirements involved in the use of beneficiary-specific data, </w:t>
      </w:r>
      <w:r w:rsidR="00306DB0">
        <w:t>t</w:t>
      </w:r>
      <w:r w:rsidR="00B2478C">
        <w:t>hese methodologies are simplifications for beneficiaries who will implement many projects over the programming period.</w:t>
      </w:r>
    </w:p>
    <w:p w14:paraId="4C6DDB00" w14:textId="0A4F7051" w:rsidR="00B2478C" w:rsidRPr="00525232" w:rsidRDefault="00393804" w:rsidP="00525232">
      <w:pPr>
        <w:rPr>
          <w:color w:val="4472C4" w:themeColor="accent1"/>
        </w:rPr>
      </w:pPr>
      <w:r w:rsidRPr="00525232">
        <w:rPr>
          <w:b/>
          <w:color w:val="4472C4" w:themeColor="accent1"/>
        </w:rPr>
        <w:t>The verified historical data of individual beneficiaries</w:t>
      </w:r>
      <w:r w:rsidR="00525232">
        <w:rPr>
          <w:b/>
          <w:color w:val="4472C4" w:themeColor="accent1"/>
        </w:rPr>
        <w:t>:</w:t>
      </w:r>
    </w:p>
    <w:p w14:paraId="051E7F75" w14:textId="5EBB4EA6" w:rsidR="009E2329" w:rsidRPr="009E2329" w:rsidRDefault="00393804" w:rsidP="004844BA">
      <w:r w:rsidRPr="00AF4E70">
        <w:t xml:space="preserve">This method is based on the collection of past accounting data from the beneficiary, for actual costs incurred for the categories of eligible costs covered by the simplified </w:t>
      </w:r>
      <w:r w:rsidRPr="00AF4E70">
        <w:t xml:space="preserve">cost option defined. Where necessary, these data </w:t>
      </w:r>
      <w:r w:rsidRPr="00AF4E70">
        <w:lastRenderedPageBreak/>
        <w:t>should cover only the cost centre or department of the beneficiary that are related to the operation. This, in fact, pre-supposes the existence of an analytical accounting system at beneficiary level. It furthermore implies that any ineligible expenditure is filtered out from any calculation supporting the simplified cost options.</w:t>
      </w:r>
      <w:r w:rsidR="6E3B5C5D">
        <w:t xml:space="preserve"> </w:t>
      </w:r>
    </w:p>
    <w:p w14:paraId="4C4EC18A" w14:textId="06625355" w:rsidR="00393804" w:rsidRDefault="00525232" w:rsidP="00525232">
      <w:pPr>
        <w:rPr>
          <w:b/>
          <w:bCs/>
          <w:color w:val="4472C4" w:themeColor="accent1"/>
        </w:rPr>
      </w:pPr>
      <w:r w:rsidRPr="00525232">
        <w:rPr>
          <w:b/>
          <w:bCs/>
          <w:color w:val="4472C4" w:themeColor="accent1"/>
        </w:rPr>
        <w:t>Application of the usual cost accounting practices of individual beneficiaries:</w:t>
      </w:r>
    </w:p>
    <w:p w14:paraId="17616179" w14:textId="77777777" w:rsidR="00525232" w:rsidRPr="00525232" w:rsidRDefault="00525232" w:rsidP="00525232">
      <w:r w:rsidRPr="00525232">
        <w:t xml:space="preserve">Usual accounting practices are practices which the beneficiary uses to account for </w:t>
      </w:r>
      <w:proofErr w:type="gramStart"/>
      <w:r w:rsidRPr="00525232">
        <w:t>all of</w:t>
      </w:r>
      <w:proofErr w:type="gramEnd"/>
      <w:r w:rsidRPr="00525232">
        <w:t xml:space="preserve"> its usual day-to-day activities and finances (including those not linked to EU support). These methods must comply with national accounting rules and standards. The length of use is not critical. An accounting method is not ‘usual’ if it has been customised for a particular operation or set of operations, for example those receiving EU support, and differs from the accounting method(s) used in other cases. </w:t>
      </w:r>
    </w:p>
    <w:p w14:paraId="2B2B9987" w14:textId="6FC77A03" w:rsidR="00525232" w:rsidRPr="00525232" w:rsidRDefault="00525232" w:rsidP="00525232">
      <w:r w:rsidRPr="00525232">
        <w:t xml:space="preserve">It is important to differentiate between actual costs and costs determined according to the usual cost accounting practices of individual beneficiaries. </w:t>
      </w:r>
    </w:p>
    <w:p w14:paraId="42AD9E31" w14:textId="5F2ACC92" w:rsidR="00525232" w:rsidRPr="00525232" w:rsidRDefault="7C2942F3" w:rsidP="00525232">
      <w:r w:rsidRPr="00525232">
        <w:t>Thus, actual costs mean costs calculated as exactly as possible (‘costs actually incurred by the beneficiary</w:t>
      </w:r>
      <w:r w:rsidR="4E948CC6">
        <w:t xml:space="preserve"> and paid</w:t>
      </w:r>
      <w:r w:rsidRPr="00525232">
        <w:t xml:space="preserve">’) for the </w:t>
      </w:r>
      <w:proofErr w:type="gramStart"/>
      <w:r w:rsidRPr="00525232">
        <w:t>time period</w:t>
      </w:r>
      <w:proofErr w:type="gramEnd"/>
      <w:r w:rsidRPr="00525232">
        <w:t xml:space="preserve"> of the operation. For example, for hourly staff costs, use of standard hours as denominator is accepted (see for instance the 1720 hours in section</w:t>
      </w:r>
      <w:r w:rsidR="5C31BDBD">
        <w:t xml:space="preserve"> </w:t>
      </w:r>
      <w:r w:rsidR="009C2080">
        <w:rPr>
          <w:color w:val="2B579A"/>
          <w:shd w:val="clear" w:color="auto" w:fill="E6E6E6"/>
        </w:rPr>
        <w:fldChar w:fldCharType="begin"/>
      </w:r>
      <w:r w:rsidR="009C2080">
        <w:instrText xml:space="preserve"> REF _Ref163479783 \r \h </w:instrText>
      </w:r>
      <w:r w:rsidR="009C2080">
        <w:rPr>
          <w:color w:val="2B579A"/>
          <w:shd w:val="clear" w:color="auto" w:fill="E6E6E6"/>
        </w:rPr>
      </w:r>
      <w:r w:rsidR="009C2080">
        <w:rPr>
          <w:color w:val="2B579A"/>
          <w:shd w:val="clear" w:color="auto" w:fill="E6E6E6"/>
        </w:rPr>
        <w:fldChar w:fldCharType="separate"/>
      </w:r>
      <w:r w:rsidR="6C79C37E">
        <w:t>2.3.2</w:t>
      </w:r>
      <w:r w:rsidR="009C2080">
        <w:rPr>
          <w:color w:val="2B579A"/>
          <w:shd w:val="clear" w:color="auto" w:fill="E6E6E6"/>
        </w:rPr>
        <w:fldChar w:fldCharType="end"/>
      </w:r>
      <w:r w:rsidRPr="00525232">
        <w:t xml:space="preserve">), but the numerator for the purpose of calculating ‘actual costs’ is the total eligible staff costs for </w:t>
      </w:r>
      <w:r w:rsidRPr="00525232">
        <w:t xml:space="preserve">each particular person assigned to the action.’ </w:t>
      </w:r>
    </w:p>
    <w:p w14:paraId="199AA8F3" w14:textId="77777777" w:rsidR="00525232" w:rsidRPr="00525232" w:rsidRDefault="00525232" w:rsidP="00525232">
      <w:r w:rsidRPr="00525232">
        <w:t xml:space="preserve">An hourly cost based on the beneficiary’s cost accounting practices could be calculated </w:t>
      </w:r>
      <w:proofErr w:type="gramStart"/>
      <w:r w:rsidRPr="00525232">
        <w:t>on the basis of</w:t>
      </w:r>
      <w:proofErr w:type="gramEnd"/>
      <w:r w:rsidRPr="00525232">
        <w:t xml:space="preserve"> an average of the remuneration costs of a larger aggregate of employees. This </w:t>
      </w:r>
      <w:r w:rsidRPr="00525232">
        <w:rPr>
          <w:iCs/>
        </w:rPr>
        <w:t>average</w:t>
      </w:r>
      <w:r w:rsidRPr="00525232">
        <w:t xml:space="preserve"> is normally a grade or some similar measure, which correlates to the gross employment costs, but the comparison can also be a cost centre or department (related to the operation) where gross employment costs may vary considerably within the aggregate group of employees.</w:t>
      </w:r>
    </w:p>
    <w:p w14:paraId="3C051438" w14:textId="213BF6C2" w:rsidR="7C2942F3" w:rsidRDefault="7C2942F3">
      <w:r>
        <w:t>Therefore, to ensure equal treatment among beneficiaries and that the grant does not cover ineligible costs, the document setting out the conditions for support authorising beneficiaries to use their cost accounting practices must provide for minimum conditions. Those minimum conditions aim at ensuring that the cost accounting practices result theoretically and practically in a fair and equitable system. This implies the existence of an acceptable analytical accounting system at beneficiary level. It furthermore implies that any ineligible expenditure is filtered out from the calculation.</w:t>
      </w:r>
    </w:p>
    <w:p w14:paraId="5C06AF56" w14:textId="53FCB405" w:rsidR="00525232" w:rsidRDefault="00525232" w:rsidP="00525232">
      <w:pPr>
        <w:rPr>
          <w:b/>
          <w:bCs/>
          <w:color w:val="4472C4" w:themeColor="accent1"/>
        </w:rPr>
      </w:pPr>
      <w:r w:rsidRPr="00525232">
        <w:rPr>
          <w:b/>
          <w:bCs/>
          <w:color w:val="4472C4" w:themeColor="accent1"/>
        </w:rPr>
        <w:t>Common requirements for the use of individual beneficiary-specific data</w:t>
      </w:r>
    </w:p>
    <w:p w14:paraId="2A55EF31" w14:textId="3434667C" w:rsidR="00525232" w:rsidRPr="00525232" w:rsidRDefault="00525232" w:rsidP="00525232">
      <w:r w:rsidRPr="00525232">
        <w:t>The managing authority will have to verify individual beneficiary-specific data through a case-by-case approach. This needs to be done at the latest when establishing the document setting out the conditions for support to the beneficiary. Depending on the assurance obtained from the beneficiary’s internal management and control system by the managing authority, it may be necessary for beneficiary-specific data to be certified by an external auditor or, in the case of public bodies, by a competent and independent accounting officer,</w:t>
      </w:r>
      <w:r w:rsidR="009854F4">
        <w:t xml:space="preserve"> </w:t>
      </w:r>
      <w:r w:rsidRPr="00525232">
        <w:t>to ensure reliability of the reference data used by the managing authority. Certification of historical data may take place as part of statutory audits or contractual audits. Any certification carried out in this manner would require in-depth knowledge, by the external auditor or independent accounting officer, of the CPR Funds Regulations in respect of e.g.</w:t>
      </w:r>
      <w:r w:rsidR="00177B39">
        <w:t>,</w:t>
      </w:r>
      <w:r w:rsidRPr="00525232">
        <w:t xml:space="preserve"> the audit trail, the eligibility of the underlying costs and applicable law. Therefore, the audit authority may well be invited to support this process.</w:t>
      </w:r>
    </w:p>
    <w:p w14:paraId="2A365967" w14:textId="71930CB7" w:rsidR="00525232" w:rsidRDefault="00525232" w:rsidP="00525232">
      <w:r>
        <w:t xml:space="preserve">Where the risk of error or irregularity in the past accounting data used is deemed low, for instance, the calculation method may as well be based on data not certified by an auditor ex-ante. The managing authority would need to be able to demonstrate, in an objective manner, that the risk is indeed low and why it considers that the beneficiary’s accounting system is reliable, </w:t>
      </w:r>
      <w:proofErr w:type="gramStart"/>
      <w:r>
        <w:t>complete</w:t>
      </w:r>
      <w:proofErr w:type="gramEnd"/>
      <w:r>
        <w:t xml:space="preserve"> and accurate.</w:t>
      </w:r>
    </w:p>
    <w:p w14:paraId="60861FC5" w14:textId="77777777" w:rsidR="004844BA" w:rsidRDefault="004844BA" w:rsidP="00525232"/>
    <w:p w14:paraId="3205F56A" w14:textId="77777777" w:rsidR="004844BA" w:rsidRDefault="004844BA" w:rsidP="00525232"/>
    <w:p w14:paraId="6EC9E119" w14:textId="49B47EA4" w:rsidR="2F5DE66D" w:rsidRDefault="2F5DE66D" w:rsidP="7A56C7E6">
      <w:pPr>
        <w:pStyle w:val="Style3"/>
      </w:pPr>
      <w:r>
        <w:t xml:space="preserve">THE USE OF other objective information or an expert judgement </w:t>
      </w:r>
    </w:p>
    <w:p w14:paraId="399708E3" w14:textId="663D4D11" w:rsidR="2F5DE66D" w:rsidRDefault="2F5DE66D">
      <w:r w:rsidRPr="7A56C7E6">
        <w:rPr>
          <w:b/>
          <w:bCs/>
          <w:color w:val="4472C4" w:themeColor="accent1"/>
        </w:rPr>
        <w:lastRenderedPageBreak/>
        <w:t>Other objective information</w:t>
      </w:r>
      <w:r>
        <w:t xml:space="preserve"> could, for instance, take the form of: </w:t>
      </w:r>
    </w:p>
    <w:p w14:paraId="13EA1D70" w14:textId="77777777" w:rsidR="2F5DE66D" w:rsidRDefault="2F5DE66D" w:rsidP="7A56C7E6">
      <w:pPr>
        <w:pStyle w:val="ListParagraph"/>
        <w:numPr>
          <w:ilvl w:val="1"/>
          <w:numId w:val="42"/>
        </w:numPr>
      </w:pPr>
      <w:r>
        <w:t>surveys, studies, market research, etc. (need to ensure a proper documentation</w:t>
      </w:r>
      <w:proofErr w:type="gramStart"/>
      <w:r>
        <w:t>);</w:t>
      </w:r>
      <w:proofErr w:type="gramEnd"/>
    </w:p>
    <w:p w14:paraId="6898D74B" w14:textId="735BDED5" w:rsidR="2F5DE66D" w:rsidRDefault="2F5DE66D" w:rsidP="7A56C7E6">
      <w:pPr>
        <w:pStyle w:val="ListParagraph"/>
        <w:numPr>
          <w:ilvl w:val="1"/>
          <w:numId w:val="42"/>
        </w:numPr>
      </w:pPr>
      <w:r>
        <w:t>data on remuneration for equivalent work.</w:t>
      </w:r>
    </w:p>
    <w:p w14:paraId="4FBC5F4E" w14:textId="2243328E" w:rsidR="2F5DE66D" w:rsidRDefault="2F5DE66D">
      <w:r w:rsidRPr="7A56C7E6">
        <w:rPr>
          <w:b/>
          <w:bCs/>
          <w:color w:val="4472C4" w:themeColor="accent1"/>
        </w:rPr>
        <w:t>Expert judgements</w:t>
      </w:r>
      <w:r>
        <w:t xml:space="preserve"> should be based upon a specific set of criteria and/or expertise that has been acquired in a specific knowledge area, application or product area, a particular discipline, an industry, etc. It needs to be well documented and specific to the </w:t>
      </w:r>
      <w:proofErr w:type="gramStart"/>
      <w:r>
        <w:t>particular circumstances</w:t>
      </w:r>
      <w:proofErr w:type="gramEnd"/>
      <w:r>
        <w:t xml:space="preserve"> of each case. The CPR does not define the expert judgment. It will be for the managing authorities to specify the requirements for a judgment to qualify as expert and to ensure that there is no conflict of interests. For any expert chosen the managing authority would need to demonstrate his/her expertise in the relevant field as well as his/her independence.</w:t>
      </w:r>
    </w:p>
    <w:p w14:paraId="7A05886C" w14:textId="45F5427A" w:rsidR="00D1602A" w:rsidRPr="004844BA" w:rsidRDefault="2F5DE66D" w:rsidP="7A56C7E6">
      <w:pPr>
        <w:rPr>
          <w:b/>
          <w:bCs/>
          <w:color w:val="4472C4" w:themeColor="accent1"/>
        </w:rPr>
      </w:pPr>
      <w:r>
        <w:t xml:space="preserve">Thresholds, </w:t>
      </w:r>
      <w:proofErr w:type="gramStart"/>
      <w:r>
        <w:t>ceilings</w:t>
      </w:r>
      <w:proofErr w:type="gramEnd"/>
      <w:r>
        <w:t xml:space="preserve"> or other maximum values set in national rules can be considered as other objective information. However, they cannot be applied directly but the managing authority needs to </w:t>
      </w:r>
      <w:r w:rsidRPr="004844BA">
        <w:rPr>
          <w:b/>
          <w:bCs/>
          <w:color w:val="4472C4" w:themeColor="accent1"/>
        </w:rPr>
        <w:t xml:space="preserve">demonstrate that they represent a fair value and </w:t>
      </w:r>
      <w:r w:rsidR="5F799463" w:rsidRPr="004844BA">
        <w:rPr>
          <w:b/>
          <w:bCs/>
          <w:color w:val="4472C4" w:themeColor="accent1"/>
        </w:rPr>
        <w:t>a reliable</w:t>
      </w:r>
      <w:r w:rsidRPr="004844BA">
        <w:rPr>
          <w:b/>
          <w:bCs/>
          <w:color w:val="4472C4" w:themeColor="accent1"/>
        </w:rPr>
        <w:t xml:space="preserve"> proxy.</w:t>
      </w:r>
    </w:p>
    <w:p w14:paraId="5F7AF0E7" w14:textId="037BE31B" w:rsidR="7A56C7E6" w:rsidRDefault="1A194827" w:rsidP="7A56C7E6">
      <w:r>
        <w:t>The result of these methodologies may be applied to a group of operations and beneficiaries.</w:t>
      </w:r>
    </w:p>
    <w:p w14:paraId="44476F6D" w14:textId="07AEF249" w:rsidR="00521CDC" w:rsidRDefault="00521CDC" w:rsidP="00521CDC">
      <w:pPr>
        <w:pStyle w:val="Style3"/>
      </w:pPr>
      <w:r>
        <w:t>Use of historical data and methodologies from previous programming periods</w:t>
      </w:r>
    </w:p>
    <w:p w14:paraId="7BAF1B44" w14:textId="2098B123" w:rsidR="00521CDC" w:rsidRPr="00521CDC" w:rsidRDefault="7D934E48" w:rsidP="00521CDC">
      <w:r>
        <w:t xml:space="preserve">The use of verified historical data from previous programming periods (e.g., </w:t>
      </w:r>
      <w:r w:rsidR="54FF0AC4">
        <w:t>2007-2013</w:t>
      </w:r>
      <w:r>
        <w:t xml:space="preserve">) may be accepted if it is demonstrated that the amounts are still relevant. This means that the programme authorities should </w:t>
      </w:r>
      <w:r w:rsidR="25DD7CD3">
        <w:t>ensure</w:t>
      </w:r>
      <w:r>
        <w:t xml:space="preserve"> that this data is still a reliable proxy to real costs and adjust it where needed.</w:t>
      </w:r>
    </w:p>
    <w:p w14:paraId="65AE2551" w14:textId="13878FCC" w:rsidR="00521CDC" w:rsidRPr="00521CDC" w:rsidRDefault="7CD0BA59" w:rsidP="00521CDC">
      <w:r>
        <w:t>In addition, it is also possible to use methodologies established in previous programming periods</w:t>
      </w:r>
      <w:r w:rsidR="01E50D43">
        <w:t xml:space="preserve"> if the conditions in the previous programming period </w:t>
      </w:r>
      <w:r w:rsidR="7328208C">
        <w:t>remain relevant and valid</w:t>
      </w:r>
      <w:r w:rsidR="01E50D43">
        <w:t xml:space="preserve"> </w:t>
      </w:r>
      <w:r w:rsidR="7C80E030">
        <w:t xml:space="preserve">for the programming period 2021-2027 </w:t>
      </w:r>
      <w:r w:rsidR="01E50D43">
        <w:t>(type of activities, categories of costs covered, etc.)</w:t>
      </w:r>
      <w:r>
        <w:t xml:space="preserve">. In this case, the managing authority </w:t>
      </w:r>
      <w:r w:rsidR="64CA2331">
        <w:t xml:space="preserve">(or the monitoring committee for Interreg programmes) </w:t>
      </w:r>
      <w:r>
        <w:t>should ensure that the methodology is adapted to the new legislation applicable to the programming period 2021-2027.</w:t>
      </w:r>
      <w:r w:rsidR="650461F1">
        <w:t xml:space="preserve"> Should such a methodology be proposed at the “upper level” the </w:t>
      </w:r>
      <w:r w:rsidR="54A8987C">
        <w:t>a</w:t>
      </w:r>
      <w:r w:rsidR="650461F1">
        <w:t xml:space="preserve">udit </w:t>
      </w:r>
      <w:r w:rsidR="54A8987C">
        <w:t>a</w:t>
      </w:r>
      <w:r w:rsidR="650461F1">
        <w:t xml:space="preserve">uthority would need to </w:t>
      </w:r>
      <w:r w:rsidR="64A1F03C">
        <w:t xml:space="preserve">assess </w:t>
      </w:r>
      <w:r w:rsidR="650461F1">
        <w:t xml:space="preserve">it at this moment in time (if the methodology was audited in the previous </w:t>
      </w:r>
      <w:r w:rsidR="0549C93A">
        <w:t>programming periods, the previous audit work can be relied upon, provided an adequate audit trail is available</w:t>
      </w:r>
      <w:r w:rsidR="54A8987C">
        <w:t>)</w:t>
      </w:r>
      <w:r w:rsidR="0549C93A">
        <w:t xml:space="preserve">. </w:t>
      </w:r>
    </w:p>
    <w:p w14:paraId="75FAE868" w14:textId="606D2B7B" w:rsidR="00DF1038" w:rsidRPr="004E6DE3" w:rsidRDefault="0613E798" w:rsidP="004E6DE3">
      <w:pPr>
        <w:pStyle w:val="Heading3"/>
        <w:numPr>
          <w:ilvl w:val="2"/>
          <w:numId w:val="92"/>
        </w:numPr>
        <w:rPr>
          <w:color w:val="4472C4" w:themeColor="accent1"/>
        </w:rPr>
      </w:pPr>
      <w:bookmarkStart w:id="34" w:name="_Ref163479824"/>
      <w:bookmarkStart w:id="35" w:name="_Toc168350311"/>
      <w:r w:rsidRPr="30D7A848">
        <w:rPr>
          <w:color w:val="4472C4" w:themeColor="accent1"/>
        </w:rPr>
        <w:t>Draft budget</w:t>
      </w:r>
      <w:bookmarkEnd w:id="34"/>
      <w:bookmarkEnd w:id="35"/>
    </w:p>
    <w:p w14:paraId="51EB2E51" w14:textId="7D669112" w:rsidR="004863A4" w:rsidRPr="004863A4" w:rsidRDefault="3A75108C" w:rsidP="004863A4">
      <w:r>
        <w:t>As set out in Article</w:t>
      </w:r>
      <w:r w:rsidR="2E95C652">
        <w:t>s</w:t>
      </w:r>
      <w:r>
        <w:t xml:space="preserve"> 53(3)(b)</w:t>
      </w:r>
      <w:r w:rsidR="5F3D48F0">
        <w:t xml:space="preserve"> and</w:t>
      </w:r>
      <w:r w:rsidR="2E95C652">
        <w:t xml:space="preserve"> 94(2)(b)</w:t>
      </w:r>
      <w:r>
        <w:t xml:space="preserve"> CPR, an</w:t>
      </w:r>
      <w:r w:rsidR="594E0938">
        <w:t>other method to set</w:t>
      </w:r>
      <w:r>
        <w:t>up simplified cost options is a draft budget.</w:t>
      </w:r>
    </w:p>
    <w:p w14:paraId="465CB7FC" w14:textId="11023EEC" w:rsidR="004863A4" w:rsidRPr="004863A4" w:rsidRDefault="234F2DBD" w:rsidP="004863A4">
      <w:r>
        <w:t>For th</w:t>
      </w:r>
      <w:r w:rsidR="3FE2E2BF">
        <w:t>e</w:t>
      </w:r>
      <w:r>
        <w:t xml:space="preserve"> SCOs used a</w:t>
      </w:r>
      <w:r w:rsidR="181B7819">
        <w:t xml:space="preserve">t </w:t>
      </w:r>
      <w:r w:rsidR="518B5FA9" w:rsidRPr="30D7A848">
        <w:rPr>
          <w:b/>
          <w:bCs/>
          <w:color w:val="4472C4" w:themeColor="accent1"/>
        </w:rPr>
        <w:t>“</w:t>
      </w:r>
      <w:r w:rsidR="181B7819" w:rsidRPr="30D7A848">
        <w:rPr>
          <w:b/>
          <w:bCs/>
          <w:color w:val="4472C4" w:themeColor="accent1"/>
        </w:rPr>
        <w:t>lower</w:t>
      </w:r>
      <w:r w:rsidR="0E241360" w:rsidRPr="30D7A848">
        <w:rPr>
          <w:b/>
          <w:bCs/>
          <w:color w:val="4472C4" w:themeColor="accent1"/>
        </w:rPr>
        <w:t>”</w:t>
      </w:r>
      <w:r w:rsidR="181B7819" w:rsidRPr="30D7A848">
        <w:rPr>
          <w:b/>
          <w:bCs/>
          <w:color w:val="4472C4" w:themeColor="accent1"/>
        </w:rPr>
        <w:t xml:space="preserve"> level</w:t>
      </w:r>
      <w:r w:rsidR="181B7819">
        <w:t xml:space="preserve"> (Member State – beneficiary), this </w:t>
      </w:r>
      <w:r w:rsidR="5F55286C">
        <w:t>applies</w:t>
      </w:r>
      <w:r w:rsidR="181B7819">
        <w:t xml:space="preserve"> only</w:t>
      </w:r>
      <w:r w:rsidR="5F55286C">
        <w:t xml:space="preserve"> to operations whose </w:t>
      </w:r>
      <w:r w:rsidR="5F55286C" w:rsidRPr="30D7A848">
        <w:rPr>
          <w:b/>
          <w:bCs/>
          <w:color w:val="4472C4" w:themeColor="accent1"/>
        </w:rPr>
        <w:t xml:space="preserve">total cost does not exceed EUR 200 000 </w:t>
      </w:r>
      <w:r w:rsidR="5F55286C">
        <w:t xml:space="preserve">and needs to be established on a case-by-case basis and agreed in advance by the body selecting the operation. Total costs of the operation are all costs needed to implement the operation, as specified in the document setting out the conditions for support to the beneficiary. </w:t>
      </w:r>
      <w:r w:rsidR="181B7819">
        <w:t xml:space="preserve">There is </w:t>
      </w:r>
      <w:r w:rsidR="181B7819" w:rsidRPr="30D7A848">
        <w:rPr>
          <w:b/>
          <w:bCs/>
          <w:color w:val="4472C4" w:themeColor="accent1"/>
        </w:rPr>
        <w:t>no such limitation</w:t>
      </w:r>
      <w:r w:rsidR="181B7819">
        <w:t xml:space="preserve"> for the </w:t>
      </w:r>
      <w:r w:rsidR="69295C58">
        <w:t>set-up</w:t>
      </w:r>
      <w:r w:rsidR="181B7819">
        <w:t xml:space="preserve"> of simplified cost options </w:t>
      </w:r>
      <w:r w:rsidR="104ABA41">
        <w:t xml:space="preserve">used </w:t>
      </w:r>
      <w:r w:rsidR="181B7819">
        <w:t xml:space="preserve">at </w:t>
      </w:r>
      <w:r w:rsidR="76FB1801" w:rsidRPr="30D7A848">
        <w:rPr>
          <w:b/>
          <w:bCs/>
          <w:color w:val="4472C4" w:themeColor="accent1"/>
        </w:rPr>
        <w:t>“</w:t>
      </w:r>
      <w:r w:rsidR="181B7819" w:rsidRPr="30D7A848">
        <w:rPr>
          <w:b/>
          <w:bCs/>
          <w:color w:val="4472C4" w:themeColor="accent1"/>
        </w:rPr>
        <w:t>upper</w:t>
      </w:r>
      <w:r w:rsidR="6EF932A3" w:rsidRPr="30D7A848">
        <w:rPr>
          <w:b/>
          <w:bCs/>
          <w:color w:val="4472C4" w:themeColor="accent1"/>
        </w:rPr>
        <w:t xml:space="preserve">” </w:t>
      </w:r>
      <w:r w:rsidR="181B7819" w:rsidRPr="30D7A848">
        <w:rPr>
          <w:b/>
          <w:bCs/>
          <w:color w:val="4472C4" w:themeColor="accent1"/>
        </w:rPr>
        <w:t>level</w:t>
      </w:r>
      <w:r w:rsidR="181B7819">
        <w:t xml:space="preserve"> (Commission – Member State).</w:t>
      </w:r>
    </w:p>
    <w:p w14:paraId="6E0B213A" w14:textId="09CEDE6A" w:rsidR="004863A4" w:rsidRPr="004863A4" w:rsidRDefault="004863A4" w:rsidP="004863A4">
      <w:r w:rsidRPr="004863A4">
        <w:t xml:space="preserve">In case of small projects financed by </w:t>
      </w:r>
      <w:r w:rsidRPr="00127F22">
        <w:rPr>
          <w:b/>
          <w:bCs/>
          <w:color w:val="4472C4" w:themeColor="accent1"/>
        </w:rPr>
        <w:t>Interreg programmes</w:t>
      </w:r>
      <w:r w:rsidRPr="004863A4">
        <w:t xml:space="preserve">, according to Article 25(6) Interreg Regulation, the beneficiary managing the </w:t>
      </w:r>
      <w:r w:rsidRPr="00127F22">
        <w:rPr>
          <w:b/>
          <w:bCs/>
          <w:color w:val="4472C4" w:themeColor="accent1"/>
        </w:rPr>
        <w:t>small project fund</w:t>
      </w:r>
      <w:r w:rsidRPr="004863A4">
        <w:t xml:space="preserve"> can use the draft budget to establish simplified cost options to reimburse final recipients if </w:t>
      </w:r>
      <w:r w:rsidRPr="0023581C">
        <w:rPr>
          <w:b/>
          <w:bCs/>
          <w:color w:val="4472C4" w:themeColor="accent1"/>
        </w:rPr>
        <w:t xml:space="preserve">the </w:t>
      </w:r>
      <w:r w:rsidR="0023581C" w:rsidRPr="0023581C">
        <w:rPr>
          <w:b/>
          <w:bCs/>
          <w:color w:val="4472C4" w:themeColor="accent1"/>
        </w:rPr>
        <w:t>public contribution to a small project does not exceed EUR 100 000</w:t>
      </w:r>
      <w:r w:rsidRPr="004863A4">
        <w:t>.</w:t>
      </w:r>
    </w:p>
    <w:p w14:paraId="3C069060" w14:textId="29301E32" w:rsidR="004863A4" w:rsidRDefault="00913983" w:rsidP="00913983">
      <w:pPr>
        <w:ind w:left="851"/>
      </w:pPr>
      <w:r>
        <w:rPr>
          <w:b/>
          <w:bCs/>
          <w:noProof/>
          <w:color w:val="4472C4" w:themeColor="accent1"/>
          <w:shd w:val="clear" w:color="auto" w:fill="E6E6E6"/>
        </w:rPr>
        <w:drawing>
          <wp:anchor distT="0" distB="0" distL="114300" distR="114300" simplePos="0" relativeHeight="251660800" behindDoc="0" locked="0" layoutInCell="1" allowOverlap="1" wp14:anchorId="36033B62" wp14:editId="37027E5D">
            <wp:simplePos x="0" y="0"/>
            <wp:positionH relativeFrom="margin">
              <wp:align>left</wp:align>
            </wp:positionH>
            <wp:positionV relativeFrom="paragraph">
              <wp:posOffset>101600</wp:posOffset>
            </wp:positionV>
            <wp:extent cx="428625" cy="428625"/>
            <wp:effectExtent l="0" t="0" r="9525" b="0"/>
            <wp:wrapSquare wrapText="bothSides"/>
            <wp:docPr id="23" name="Graphic 23" descr="Blackboard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Blackboard outline"/>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428625" cy="428625"/>
                    </a:xfrm>
                    <a:prstGeom prst="rect">
                      <a:avLst/>
                    </a:prstGeom>
                  </pic:spPr>
                </pic:pic>
              </a:graphicData>
            </a:graphic>
            <wp14:sizeRelH relativeFrom="margin">
              <wp14:pctWidth>0</wp14:pctWidth>
            </wp14:sizeRelH>
            <wp14:sizeRelV relativeFrom="margin">
              <wp14:pctHeight>0</wp14:pctHeight>
            </wp14:sizeRelV>
          </wp:anchor>
        </w:drawing>
      </w:r>
      <w:r w:rsidR="004863A4" w:rsidRPr="004863A4">
        <w:t xml:space="preserve">The possibility of using a draft budget is designed to facilitate implementation of the compulsory use of simplified cost options for small operations (see also Article 53(2) CPR). In fact, this method allows some simplified costs to be calculated if the operation is very specific. The draft budget will be used to calculate the specific simplified cost options related to this operation or project. </w:t>
      </w:r>
    </w:p>
    <w:p w14:paraId="387D7EC2" w14:textId="033158C0" w:rsidR="00111FB6" w:rsidRPr="004863A4" w:rsidRDefault="7430D5D5" w:rsidP="24770DFA">
      <w:r>
        <w:t xml:space="preserve">In a first step, the managing authority (or monitoring committee for Interreg programmes) </w:t>
      </w:r>
      <w:proofErr w:type="gramStart"/>
      <w:r>
        <w:t>ha</w:t>
      </w:r>
      <w:r w:rsidR="163B82FF">
        <w:t>s</w:t>
      </w:r>
      <w:r>
        <w:t xml:space="preserve"> to</w:t>
      </w:r>
      <w:proofErr w:type="gramEnd"/>
      <w:r>
        <w:t xml:space="preserve"> outline </w:t>
      </w:r>
      <w:r w:rsidRPr="30D7A848">
        <w:rPr>
          <w:b/>
          <w:bCs/>
          <w:color w:val="4472C4" w:themeColor="accent1"/>
        </w:rPr>
        <w:t>principles of the calculation method</w:t>
      </w:r>
      <w:r>
        <w:t xml:space="preserve"> alongside the announcement of the call for proposals. </w:t>
      </w:r>
    </w:p>
    <w:p w14:paraId="4C9042D8" w14:textId="6FF9D353" w:rsidR="00111FB6" w:rsidRPr="004863A4" w:rsidRDefault="0051085D" w:rsidP="30D7A848">
      <w:r>
        <w:rPr>
          <w:noProof/>
        </w:rPr>
        <w:lastRenderedPageBreak/>
        <w:drawing>
          <wp:anchor distT="0" distB="0" distL="114300" distR="114300" simplePos="0" relativeHeight="251658276" behindDoc="0" locked="0" layoutInCell="1" allowOverlap="1" wp14:anchorId="5E2CFA48" wp14:editId="71DE0D52">
            <wp:simplePos x="0" y="0"/>
            <wp:positionH relativeFrom="column">
              <wp:posOffset>0</wp:posOffset>
            </wp:positionH>
            <wp:positionV relativeFrom="paragraph">
              <wp:posOffset>2706</wp:posOffset>
            </wp:positionV>
            <wp:extent cx="390525" cy="390525"/>
            <wp:effectExtent l="0" t="0" r="9525" b="9525"/>
            <wp:wrapSquare wrapText="bothSides"/>
            <wp:docPr id="1946370216" name="Graphic 1946370216" descr="Thumbs up sign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45"/>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90525" cy="390525"/>
                    </a:xfrm>
                    <a:prstGeom prst="rect">
                      <a:avLst/>
                    </a:prstGeom>
                  </pic:spPr>
                </pic:pic>
              </a:graphicData>
            </a:graphic>
          </wp:anchor>
        </w:drawing>
      </w:r>
      <w:r w:rsidR="3B722AD3">
        <w:t xml:space="preserve">In this respect, it is highly recommended that the managing authorities (or monitoring committees for Interreg programmes) establish parameters or maximum cost levels that are used to compare at least the most important budgeted costs against these parameters. </w:t>
      </w:r>
      <w:r w:rsidR="28235C1A">
        <w:t xml:space="preserve">The managing authority (or monitoring committee for Interreg programmes) may also set minimum benchmarks on the quality of the expected outcome or results. </w:t>
      </w:r>
      <w:r w:rsidR="3B722AD3">
        <w:t>The absence of such parameters</w:t>
      </w:r>
      <w:r w:rsidR="3C96CD3A">
        <w:t>, minimum benchmarks</w:t>
      </w:r>
      <w:r w:rsidR="3B722AD3">
        <w:t xml:space="preserve"> or maximum cost levels would render it difficult for any managing authority (or monitoring committee for Interreg programmes) to ensure equality of treatment and observance of sound financial management.</w:t>
      </w:r>
    </w:p>
    <w:p w14:paraId="71DC5BFD" w14:textId="2931FCF0" w:rsidR="00111FB6" w:rsidRPr="004863A4" w:rsidRDefault="7430D5D5" w:rsidP="30D7A848">
      <w:r>
        <w:t xml:space="preserve">Based on programme rules, it is then up to the </w:t>
      </w:r>
      <w:r w:rsidRPr="30D7A848">
        <w:rPr>
          <w:b/>
          <w:bCs/>
          <w:color w:val="4472C4" w:themeColor="accent1"/>
        </w:rPr>
        <w:t>applicants for funding to prepare and submit detailed and factual budgets and to provide documents to justify all the costs in the budget</w:t>
      </w:r>
      <w:r>
        <w:t xml:space="preserve">. </w:t>
      </w:r>
      <w:r w:rsidR="32CBA887">
        <w:t xml:space="preserve">SCOs (including milestones for lump sums) should be defined in close cooperation with applicants (or beneficiaries after the selection of operations) so that they are aware of what </w:t>
      </w:r>
      <w:proofErr w:type="gramStart"/>
      <w:r w:rsidR="32CBA887">
        <w:t>has to</w:t>
      </w:r>
      <w:proofErr w:type="gramEnd"/>
      <w:r w:rsidR="32CBA887">
        <w:t xml:space="preserve"> be delivered and of supporting information/evidence to be provided to generate payments. </w:t>
      </w:r>
    </w:p>
    <w:p w14:paraId="4F7CE17C" w14:textId="0EA20A30" w:rsidR="7430D5D5" w:rsidRDefault="7430D5D5" w:rsidP="30D7A848">
      <w:r>
        <w:t xml:space="preserve">Subsequently, </w:t>
      </w:r>
      <w:r w:rsidRPr="30D7A848">
        <w:rPr>
          <w:b/>
          <w:bCs/>
          <w:color w:val="4472C4" w:themeColor="accent1"/>
        </w:rPr>
        <w:t xml:space="preserve">draft budgets are assessed by the managing authority </w:t>
      </w:r>
      <w:r>
        <w:t xml:space="preserve">(or monitoring committee for Interreg programmes). </w:t>
      </w:r>
      <w:r w:rsidR="6C6C5C55">
        <w:t>Even if it is recommended, when assessing the budget, it will not be necessary for the managing authority (or the monitoring committee for Interreg programmes) to compare the draft detailed budget proposed by the potential beneficiary with comparable operations.</w:t>
      </w:r>
      <w:r w:rsidR="5F9BF83F">
        <w:t xml:space="preserve"> </w:t>
      </w:r>
      <w:r w:rsidR="7515B087">
        <w:t>When supporting the same beneficiary several times it is however recommended to compare the draft detailed budget with previously supported operations.</w:t>
      </w:r>
    </w:p>
    <w:p w14:paraId="21A040AB" w14:textId="39B009CE" w:rsidR="1FBE50BA" w:rsidRDefault="1FBE50BA" w:rsidP="30D7A848">
      <w:r>
        <w:t xml:space="preserve">Finally, the managing authority (or the monitoring committee for Interreg programmes) is </w:t>
      </w:r>
      <w:r w:rsidRPr="30D7A848">
        <w:rPr>
          <w:b/>
          <w:bCs/>
          <w:color w:val="4472C4" w:themeColor="accent1"/>
        </w:rPr>
        <w:t xml:space="preserve">transforming the draft budget into SCOs </w:t>
      </w:r>
      <w:r>
        <w:t xml:space="preserve">(i.e., flat rates, lump </w:t>
      </w:r>
      <w:proofErr w:type="gramStart"/>
      <w:r>
        <w:t>sums</w:t>
      </w:r>
      <w:proofErr w:type="gramEnd"/>
      <w:r>
        <w:t xml:space="preserve"> and unit costs) before or after the selection of operations (but before the signature of the grant agreement which needs to include the SCO).  The defined SCOs (and possible milestones for lump sums) should be reflected in document setting out the condition for support.</w:t>
      </w:r>
    </w:p>
    <w:p w14:paraId="1C72C2EC" w14:textId="49588CE7" w:rsidR="5F9BF83F" w:rsidRDefault="5F9BF83F" w:rsidP="30D7A848">
      <w:r>
        <w:t xml:space="preserve">The managing authority (or monitoring committee for Interreg programmes) should </w:t>
      </w:r>
      <w:r w:rsidRPr="30D7A848">
        <w:rPr>
          <w:b/>
          <w:bCs/>
          <w:color w:val="4472C4" w:themeColor="accent1"/>
        </w:rPr>
        <w:t>demonstrate and archive its assessment of the draft budget and the related supporting documents for the calculation or justification of the costs of all categories of the draft budget</w:t>
      </w:r>
      <w:r>
        <w:t>. The draft budget is not part of the document drawn up between the managing authority (or monitoring committee for Interreg programmes) and the beneficiary setting out the conditions for support (grant agreement). The management verification of the operation or project will be based only on the type of simplified cost options applied, not on the budget itself.</w:t>
      </w:r>
    </w:p>
    <w:p w14:paraId="62DD98B3" w14:textId="77777777" w:rsidR="004863A4" w:rsidRPr="004863A4" w:rsidRDefault="004863A4" w:rsidP="004863A4">
      <w:r w:rsidRPr="004863A4">
        <w:t>Simplified cost options may be based on a draft budget in relation to the whole or part of the budget of the operation or project. As an example, for an operation composed of 5 different activities:</w:t>
      </w:r>
    </w:p>
    <w:p w14:paraId="3EEEBC3B" w14:textId="386867FA" w:rsidR="002F0215" w:rsidRPr="002F0215" w:rsidRDefault="34942CC3" w:rsidP="002F0215">
      <w:pPr>
        <w:numPr>
          <w:ilvl w:val="0"/>
          <w:numId w:val="43"/>
        </w:numPr>
      </w:pPr>
      <w:r>
        <w:t xml:space="preserve">activity 1 and 2 of the operations are reimbursed on the basis of real costs or on the basis of another simplified cost </w:t>
      </w:r>
      <w:proofErr w:type="gramStart"/>
      <w:r>
        <w:t>options;</w:t>
      </w:r>
      <w:proofErr w:type="gramEnd"/>
    </w:p>
    <w:p w14:paraId="67B7FC72" w14:textId="111E3797" w:rsidR="002F0215" w:rsidRPr="002F0215" w:rsidRDefault="5C6717A1" w:rsidP="002F0215">
      <w:pPr>
        <w:numPr>
          <w:ilvl w:val="0"/>
          <w:numId w:val="43"/>
        </w:numPr>
      </w:pPr>
      <w:r>
        <w:t>activity 3,</w:t>
      </w:r>
      <w:r w:rsidR="782F9B94">
        <w:t xml:space="preserve"> </w:t>
      </w:r>
      <w:r>
        <w:t xml:space="preserve">4 and 5 of the operations are reimbursed as unit costs established </w:t>
      </w:r>
      <w:proofErr w:type="gramStart"/>
      <w:r>
        <w:t>on the basis of</w:t>
      </w:r>
      <w:proofErr w:type="gramEnd"/>
      <w:r>
        <w:t xml:space="preserve"> a draft budget.</w:t>
      </w:r>
    </w:p>
    <w:tbl>
      <w:tblPr>
        <w:tblStyle w:val="GridTable4-Accent1"/>
        <w:tblW w:w="0" w:type="auto"/>
        <w:tblLook w:val="04A0" w:firstRow="1" w:lastRow="0" w:firstColumn="1" w:lastColumn="0" w:noHBand="0" w:noVBand="1"/>
      </w:tblPr>
      <w:tblGrid>
        <w:gridCol w:w="9016"/>
      </w:tblGrid>
      <w:tr w:rsidR="00842F49" w14:paraId="50A17B1C" w14:textId="77777777" w:rsidTr="24770D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28E4125E" w14:textId="170B98D1" w:rsidR="00842F49" w:rsidRPr="00842F49" w:rsidRDefault="00842F49" w:rsidP="002F0215">
            <w:r>
              <w:t>Example 1</w:t>
            </w:r>
          </w:p>
        </w:tc>
      </w:tr>
      <w:tr w:rsidR="00842F49" w14:paraId="469051E1" w14:textId="77777777" w:rsidTr="24770D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9342ADB" w14:textId="6EF3D8D8" w:rsidR="00842F49" w:rsidRPr="00842F49" w:rsidRDefault="00842F49" w:rsidP="00842F49">
            <w:pPr>
              <w:rPr>
                <w:b w:val="0"/>
                <w:bCs w:val="0"/>
              </w:rPr>
            </w:pPr>
            <w:r w:rsidRPr="00842F49">
              <w:rPr>
                <w:b w:val="0"/>
                <w:bCs w:val="0"/>
              </w:rPr>
              <w:t>The operations consist of a lump sum below EUR 100</w:t>
            </w:r>
            <w:r w:rsidR="004C03A7">
              <w:rPr>
                <w:b w:val="0"/>
                <w:bCs w:val="0"/>
              </w:rPr>
              <w:t xml:space="preserve"> </w:t>
            </w:r>
            <w:r w:rsidRPr="00842F49">
              <w:rPr>
                <w:b w:val="0"/>
                <w:bCs w:val="0"/>
              </w:rPr>
              <w:t xml:space="preserve">000 for a small preparational project (e.g., reducing the environmental impacts caused by acid sulphate soils). </w:t>
            </w:r>
          </w:p>
          <w:p w14:paraId="315CC4DD" w14:textId="77777777" w:rsidR="00842F49" w:rsidRPr="00842F49" w:rsidRDefault="00842F49" w:rsidP="00842F49">
            <w:pPr>
              <w:rPr>
                <w:b w:val="0"/>
                <w:bCs w:val="0"/>
              </w:rPr>
            </w:pPr>
            <w:r w:rsidRPr="00842F49">
              <w:rPr>
                <w:b w:val="0"/>
                <w:bCs w:val="0"/>
              </w:rPr>
              <w:t xml:space="preserve">In the call for proposals, the intermediate body sets out (1) the use of the lump sums and clearly defines the main tasks to achieve the defined outcome, milestones, timeline of activities, and (2) sets out detailed criteria against which the most important budgeted costs are compared. </w:t>
            </w:r>
          </w:p>
          <w:p w14:paraId="4EF919B1" w14:textId="2942847D" w:rsidR="00842F49" w:rsidRPr="00842F49" w:rsidRDefault="5B3CB22F" w:rsidP="00842F49">
            <w:pPr>
              <w:rPr>
                <w:b w:val="0"/>
                <w:bCs w:val="0"/>
              </w:rPr>
            </w:pPr>
            <w:r>
              <w:rPr>
                <w:b w:val="0"/>
                <w:bCs w:val="0"/>
              </w:rPr>
              <w:t xml:space="preserve">In its application, the beneficiary sets out its draft budget and provides documents to justify all the costs in the budget. The beneficiary provides detailed information on each budget line for each task of the project. </w:t>
            </w:r>
            <w:r>
              <w:rPr>
                <w:b w:val="0"/>
                <w:bCs w:val="0"/>
              </w:rPr>
              <w:lastRenderedPageBreak/>
              <w:t xml:space="preserve">These are then assessed by the intermediate body </w:t>
            </w:r>
            <w:proofErr w:type="gramStart"/>
            <w:r>
              <w:rPr>
                <w:b w:val="0"/>
                <w:bCs w:val="0"/>
              </w:rPr>
              <w:t>on the basis of</w:t>
            </w:r>
            <w:proofErr w:type="gramEnd"/>
            <w:r>
              <w:rPr>
                <w:b w:val="0"/>
                <w:bCs w:val="0"/>
              </w:rPr>
              <w:t xml:space="preserve"> (1) eligibility of the costs, and (2) justifications of the costs. If necessary, the intermediate body requests additional information and data (e.g., further comparison to similar projects). </w:t>
            </w:r>
          </w:p>
          <w:p w14:paraId="455B791C" w14:textId="77777777" w:rsidR="00842F49" w:rsidRPr="00842F49" w:rsidRDefault="00842F49" w:rsidP="00842F49">
            <w:pPr>
              <w:rPr>
                <w:b w:val="0"/>
                <w:bCs w:val="0"/>
              </w:rPr>
            </w:pPr>
            <w:r w:rsidRPr="00842F49">
              <w:rPr>
                <w:b w:val="0"/>
                <w:bCs w:val="0"/>
              </w:rPr>
              <w:t>The draft budget is as follows:</w:t>
            </w:r>
          </w:p>
          <w:tbl>
            <w:tblPr>
              <w:tblStyle w:val="TableGrid"/>
              <w:tblW w:w="0" w:type="auto"/>
              <w:tblLook w:val="04A0" w:firstRow="1" w:lastRow="0" w:firstColumn="1" w:lastColumn="0" w:noHBand="0" w:noVBand="1"/>
            </w:tblPr>
            <w:tblGrid>
              <w:gridCol w:w="4411"/>
              <w:gridCol w:w="4379"/>
            </w:tblGrid>
            <w:tr w:rsidR="00842F49" w:rsidRPr="00842F49" w14:paraId="0FF3400E" w14:textId="77777777">
              <w:tc>
                <w:tcPr>
                  <w:tcW w:w="4516" w:type="dxa"/>
                </w:tcPr>
                <w:p w14:paraId="614210E5" w14:textId="77777777" w:rsidR="00842F49" w:rsidRPr="00842F49" w:rsidRDefault="00842F49" w:rsidP="00842F49">
                  <w:r w:rsidRPr="00842F49">
                    <w:t>Summary of the costs</w:t>
                  </w:r>
                </w:p>
              </w:tc>
              <w:tc>
                <w:tcPr>
                  <w:tcW w:w="4500" w:type="dxa"/>
                </w:tcPr>
                <w:p w14:paraId="3E8F0658" w14:textId="77777777" w:rsidR="00842F49" w:rsidRPr="00842F49" w:rsidRDefault="00842F49" w:rsidP="00842F49">
                  <w:r w:rsidRPr="00842F49">
                    <w:t>Total (in EUR)</w:t>
                  </w:r>
                </w:p>
              </w:tc>
            </w:tr>
            <w:tr w:rsidR="00842F49" w:rsidRPr="00842F49" w14:paraId="47EE80F3" w14:textId="77777777">
              <w:tc>
                <w:tcPr>
                  <w:tcW w:w="4516" w:type="dxa"/>
                </w:tcPr>
                <w:p w14:paraId="01ED03A6" w14:textId="77777777" w:rsidR="00842F49" w:rsidRPr="00842F49" w:rsidRDefault="00842F49" w:rsidP="00842F49">
                  <w:r w:rsidRPr="00842F49">
                    <w:t>1. Total salary costs</w:t>
                  </w:r>
                </w:p>
              </w:tc>
              <w:tc>
                <w:tcPr>
                  <w:tcW w:w="4500" w:type="dxa"/>
                </w:tcPr>
                <w:p w14:paraId="7CB1B15F" w14:textId="77777777" w:rsidR="00842F49" w:rsidRPr="00842F49" w:rsidRDefault="00842F49" w:rsidP="00842F49">
                  <w:r w:rsidRPr="00842F49">
                    <w:t>58 440</w:t>
                  </w:r>
                </w:p>
              </w:tc>
            </w:tr>
            <w:tr w:rsidR="00842F49" w:rsidRPr="00842F49" w14:paraId="5A18A2C6" w14:textId="77777777">
              <w:tc>
                <w:tcPr>
                  <w:tcW w:w="4516" w:type="dxa"/>
                </w:tcPr>
                <w:p w14:paraId="23D5C95D" w14:textId="77777777" w:rsidR="00842F49" w:rsidRPr="00842F49" w:rsidRDefault="00842F49" w:rsidP="00842F49">
                  <w:r w:rsidRPr="00842F49">
                    <w:t>2. Outsourced services</w:t>
                  </w:r>
                </w:p>
              </w:tc>
              <w:tc>
                <w:tcPr>
                  <w:tcW w:w="4500" w:type="dxa"/>
                </w:tcPr>
                <w:p w14:paraId="5B9ABB84" w14:textId="77777777" w:rsidR="00842F49" w:rsidRPr="00842F49" w:rsidRDefault="00842F49" w:rsidP="00842F49">
                  <w:r w:rsidRPr="00842F49">
                    <w:t>1 000</w:t>
                  </w:r>
                </w:p>
              </w:tc>
            </w:tr>
            <w:tr w:rsidR="00842F49" w:rsidRPr="00842F49" w14:paraId="3CA2D84E" w14:textId="77777777">
              <w:tc>
                <w:tcPr>
                  <w:tcW w:w="4516" w:type="dxa"/>
                </w:tcPr>
                <w:p w14:paraId="7E296E60" w14:textId="77777777" w:rsidR="00842F49" w:rsidRPr="00842F49" w:rsidRDefault="00842F49" w:rsidP="00842F49">
                  <w:r w:rsidRPr="00842F49">
                    <w:t>3. Investment in machinery and equipment</w:t>
                  </w:r>
                </w:p>
              </w:tc>
              <w:tc>
                <w:tcPr>
                  <w:tcW w:w="4500" w:type="dxa"/>
                </w:tcPr>
                <w:p w14:paraId="167C6106" w14:textId="77777777" w:rsidR="00842F49" w:rsidRPr="00842F49" w:rsidRDefault="00842F49" w:rsidP="00842F49">
                  <w:r w:rsidRPr="00842F49">
                    <w:t>0</w:t>
                  </w:r>
                </w:p>
              </w:tc>
            </w:tr>
            <w:tr w:rsidR="00842F49" w:rsidRPr="00842F49" w14:paraId="52159157" w14:textId="77777777">
              <w:tc>
                <w:tcPr>
                  <w:tcW w:w="4516" w:type="dxa"/>
                </w:tcPr>
                <w:p w14:paraId="4E50F9DB" w14:textId="77777777" w:rsidR="00842F49" w:rsidRPr="00842F49" w:rsidRDefault="00842F49" w:rsidP="00842F49">
                  <w:r w:rsidRPr="00842F49">
                    <w:t>4. Other direct costs</w:t>
                  </w:r>
                </w:p>
              </w:tc>
              <w:tc>
                <w:tcPr>
                  <w:tcW w:w="4500" w:type="dxa"/>
                </w:tcPr>
                <w:p w14:paraId="138E3861" w14:textId="77777777" w:rsidR="00842F49" w:rsidRPr="00842F49" w:rsidRDefault="00842F49" w:rsidP="00842F49">
                  <w:r w:rsidRPr="00842F49">
                    <w:t>0</w:t>
                  </w:r>
                </w:p>
              </w:tc>
            </w:tr>
            <w:tr w:rsidR="00842F49" w:rsidRPr="00842F49" w14:paraId="5F33020C" w14:textId="77777777">
              <w:tc>
                <w:tcPr>
                  <w:tcW w:w="4516" w:type="dxa"/>
                </w:tcPr>
                <w:p w14:paraId="2075A7F9" w14:textId="77777777" w:rsidR="00842F49" w:rsidRPr="00842F49" w:rsidRDefault="00842F49" w:rsidP="00842F49">
                  <w:r w:rsidRPr="00842F49">
                    <w:t>5. Indirect costs</w:t>
                  </w:r>
                </w:p>
              </w:tc>
              <w:tc>
                <w:tcPr>
                  <w:tcW w:w="4500" w:type="dxa"/>
                </w:tcPr>
                <w:p w14:paraId="5CB9CE7A" w14:textId="77777777" w:rsidR="00842F49" w:rsidRPr="00842F49" w:rsidRDefault="00842F49" w:rsidP="00842F49">
                  <w:r w:rsidRPr="00842F49">
                    <w:t>14 026</w:t>
                  </w:r>
                </w:p>
              </w:tc>
            </w:tr>
            <w:tr w:rsidR="00842F49" w:rsidRPr="00842F49" w14:paraId="2D30772B" w14:textId="77777777">
              <w:trPr>
                <w:trHeight w:val="381"/>
              </w:trPr>
              <w:tc>
                <w:tcPr>
                  <w:tcW w:w="4516" w:type="dxa"/>
                </w:tcPr>
                <w:p w14:paraId="42E27D7F" w14:textId="77777777" w:rsidR="00842F49" w:rsidRPr="00842F49" w:rsidRDefault="00842F49" w:rsidP="00842F49">
                  <w:r w:rsidRPr="00842F49">
                    <w:t>Total</w:t>
                  </w:r>
                </w:p>
              </w:tc>
              <w:tc>
                <w:tcPr>
                  <w:tcW w:w="4500" w:type="dxa"/>
                </w:tcPr>
                <w:p w14:paraId="05F543A3" w14:textId="77777777" w:rsidR="00842F49" w:rsidRPr="00842F49" w:rsidRDefault="00842F49" w:rsidP="00842F49">
                  <w:r w:rsidRPr="00842F49">
                    <w:t>73 466</w:t>
                  </w:r>
                </w:p>
              </w:tc>
            </w:tr>
          </w:tbl>
          <w:p w14:paraId="375873E1" w14:textId="77777777" w:rsidR="00842F49" w:rsidRPr="00842F49" w:rsidRDefault="00842F49" w:rsidP="00842F49">
            <w:pPr>
              <w:rPr>
                <w:b w:val="0"/>
                <w:bCs w:val="0"/>
              </w:rPr>
            </w:pPr>
            <w:r w:rsidRPr="00842F49">
              <w:rPr>
                <w:b w:val="0"/>
                <w:bCs w:val="0"/>
              </w:rPr>
              <w:t>After analysing the draft budget, the intermediate body approves the estimated costs and sets out a lump sum of EUR 73 466 to be paid to the beneficiary once the project is implemented.</w:t>
            </w:r>
          </w:p>
          <w:p w14:paraId="5DFCCEA4" w14:textId="7097CD7C" w:rsidR="00842F49" w:rsidRDefault="00842F49" w:rsidP="002F0215">
            <w:r w:rsidRPr="00842F49">
              <w:rPr>
                <w:b w:val="0"/>
                <w:bCs w:val="0"/>
              </w:rPr>
              <w:t>In the implementation phase of the project, no justification of the actual cost is required. Grants will be reimbursed based on the lump sum established ex-ante and after achieving the outcome.</w:t>
            </w:r>
          </w:p>
        </w:tc>
      </w:tr>
    </w:tbl>
    <w:p w14:paraId="35B9865E" w14:textId="77777777" w:rsidR="00842F49" w:rsidRDefault="00842F49" w:rsidP="002F0215"/>
    <w:tbl>
      <w:tblPr>
        <w:tblStyle w:val="GridTable4-Accent1"/>
        <w:tblW w:w="0" w:type="auto"/>
        <w:tblLook w:val="04A0" w:firstRow="1" w:lastRow="0" w:firstColumn="1" w:lastColumn="0" w:noHBand="0" w:noVBand="1"/>
      </w:tblPr>
      <w:tblGrid>
        <w:gridCol w:w="9016"/>
      </w:tblGrid>
      <w:tr w:rsidR="005354B6" w14:paraId="17EC071E" w14:textId="77777777" w:rsidTr="7A56C7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2231BBE" w14:textId="330EB63C" w:rsidR="005354B6" w:rsidRPr="005354B6" w:rsidRDefault="005354B6" w:rsidP="002F0215">
            <w:r w:rsidRPr="005354B6">
              <w:t>Example 2</w:t>
            </w:r>
          </w:p>
        </w:tc>
      </w:tr>
      <w:tr w:rsidR="005354B6" w14:paraId="3FECB86E" w14:textId="77777777" w:rsidTr="7A56C7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5AB1E5C8" w14:textId="77777777" w:rsidR="005354B6" w:rsidRPr="005354B6" w:rsidRDefault="005354B6" w:rsidP="005354B6">
            <w:pPr>
              <w:rPr>
                <w:b w:val="0"/>
                <w:bCs w:val="0"/>
              </w:rPr>
            </w:pPr>
            <w:r w:rsidRPr="005354B6">
              <w:rPr>
                <w:b w:val="0"/>
                <w:bCs w:val="0"/>
              </w:rPr>
              <w:t xml:space="preserve">A beneficiary intends to organise a seminar for 50 participants to present new implementation tools. </w:t>
            </w:r>
          </w:p>
          <w:p w14:paraId="75C91E04" w14:textId="77777777" w:rsidR="005354B6" w:rsidRPr="005354B6" w:rsidRDefault="005354B6" w:rsidP="005354B6">
            <w:pPr>
              <w:rPr>
                <w:b w:val="0"/>
                <w:bCs w:val="0"/>
              </w:rPr>
            </w:pPr>
            <w:r w:rsidRPr="005354B6">
              <w:rPr>
                <w:b w:val="0"/>
                <w:bCs w:val="0"/>
              </w:rPr>
              <w:t>Staff spends time on planning and organising the event, a place is rented, some speakers come from abroad, and minutes of the event will have to be published. There are also indirect costs relating to staff (accounting costs, director, etc.) and electricity, phone bills, IT support, etc.</w:t>
            </w:r>
          </w:p>
          <w:p w14:paraId="3F918307" w14:textId="77777777" w:rsidR="005354B6" w:rsidRPr="005354B6" w:rsidRDefault="0948DE81" w:rsidP="005354B6">
            <w:pPr>
              <w:rPr>
                <w:b w:val="0"/>
                <w:bCs w:val="0"/>
              </w:rPr>
            </w:pPr>
            <w:r w:rsidRPr="005354B6">
              <w:rPr>
                <w:b w:val="0"/>
                <w:bCs w:val="0"/>
              </w:rPr>
              <w:t>The draft budget is as follows:</w:t>
            </w:r>
            <w:r w:rsidR="005354B6" w:rsidRPr="005354B6">
              <w:rPr>
                <w:b w:val="0"/>
                <w:bCs w:val="0"/>
                <w:vertAlign w:val="superscript"/>
              </w:rPr>
              <w:footnoteReference w:id="17"/>
            </w:r>
          </w:p>
          <w:tbl>
            <w:tblPr>
              <w:tblW w:w="8330" w:type="dxa"/>
              <w:tblBorders>
                <w:top w:val="nil"/>
                <w:left w:val="nil"/>
                <w:bottom w:val="nil"/>
                <w:right w:val="nil"/>
              </w:tblBorders>
              <w:tblLook w:val="0000" w:firstRow="0" w:lastRow="0" w:firstColumn="0" w:lastColumn="0" w:noHBand="0" w:noVBand="0"/>
            </w:tblPr>
            <w:tblGrid>
              <w:gridCol w:w="3085"/>
              <w:gridCol w:w="1134"/>
              <w:gridCol w:w="425"/>
              <w:gridCol w:w="2552"/>
              <w:gridCol w:w="1134"/>
            </w:tblGrid>
            <w:tr w:rsidR="005354B6" w:rsidRPr="005354B6" w14:paraId="6DAEC69A" w14:textId="77777777">
              <w:trPr>
                <w:trHeight w:val="100"/>
              </w:trPr>
              <w:tc>
                <w:tcPr>
                  <w:tcW w:w="3085" w:type="dxa"/>
                  <w:tcBorders>
                    <w:top w:val="single" w:sz="4" w:space="0" w:color="auto"/>
                    <w:left w:val="single" w:sz="4" w:space="0" w:color="auto"/>
                    <w:bottom w:val="single" w:sz="4" w:space="0" w:color="auto"/>
                    <w:right w:val="single" w:sz="4" w:space="0" w:color="auto"/>
                  </w:tcBorders>
                </w:tcPr>
                <w:p w14:paraId="4C5C7BE2" w14:textId="77777777" w:rsidR="005354B6" w:rsidRPr="005354B6" w:rsidRDefault="005354B6" w:rsidP="005354B6">
                  <w:pPr>
                    <w:spacing w:line="240" w:lineRule="auto"/>
                  </w:pPr>
                  <w:r w:rsidRPr="005354B6">
                    <w:rPr>
                      <w:i/>
                      <w:iCs/>
                    </w:rPr>
                    <w:t xml:space="preserve">Total Direct costs </w:t>
                  </w:r>
                </w:p>
              </w:tc>
              <w:tc>
                <w:tcPr>
                  <w:tcW w:w="1134" w:type="dxa"/>
                  <w:tcBorders>
                    <w:top w:val="single" w:sz="4" w:space="0" w:color="auto"/>
                    <w:left w:val="single" w:sz="4" w:space="0" w:color="auto"/>
                    <w:bottom w:val="single" w:sz="4" w:space="0" w:color="auto"/>
                    <w:right w:val="single" w:sz="4" w:space="0" w:color="auto"/>
                  </w:tcBorders>
                </w:tcPr>
                <w:p w14:paraId="13096CDD" w14:textId="77777777" w:rsidR="005354B6" w:rsidRPr="005354B6" w:rsidRDefault="005354B6" w:rsidP="005354B6">
                  <w:pPr>
                    <w:spacing w:line="240" w:lineRule="auto"/>
                  </w:pPr>
                  <w:r w:rsidRPr="005354B6">
                    <w:rPr>
                      <w:i/>
                      <w:iCs/>
                    </w:rPr>
                    <w:t xml:space="preserve">45 000 </w:t>
                  </w:r>
                </w:p>
              </w:tc>
              <w:tc>
                <w:tcPr>
                  <w:tcW w:w="425" w:type="dxa"/>
                  <w:tcBorders>
                    <w:left w:val="single" w:sz="4" w:space="0" w:color="auto"/>
                    <w:right w:val="single" w:sz="4" w:space="0" w:color="auto"/>
                  </w:tcBorders>
                </w:tcPr>
                <w:p w14:paraId="6BA21301" w14:textId="77777777" w:rsidR="005354B6" w:rsidRPr="005354B6" w:rsidRDefault="005354B6" w:rsidP="005354B6">
                  <w:pPr>
                    <w:spacing w:line="240" w:lineRule="auto"/>
                    <w:rPr>
                      <w:i/>
                      <w:iCs/>
                    </w:rPr>
                  </w:pPr>
                </w:p>
              </w:tc>
              <w:tc>
                <w:tcPr>
                  <w:tcW w:w="2552" w:type="dxa"/>
                  <w:tcBorders>
                    <w:top w:val="single" w:sz="4" w:space="0" w:color="auto"/>
                    <w:left w:val="single" w:sz="4" w:space="0" w:color="auto"/>
                    <w:bottom w:val="single" w:sz="4" w:space="0" w:color="auto"/>
                    <w:right w:val="single" w:sz="4" w:space="0" w:color="auto"/>
                  </w:tcBorders>
                </w:tcPr>
                <w:p w14:paraId="43BFFA75" w14:textId="77777777" w:rsidR="005354B6" w:rsidRPr="005354B6" w:rsidRDefault="005354B6" w:rsidP="005354B6">
                  <w:pPr>
                    <w:spacing w:line="240" w:lineRule="auto"/>
                  </w:pPr>
                  <w:r w:rsidRPr="005354B6">
                    <w:rPr>
                      <w:i/>
                      <w:iCs/>
                    </w:rPr>
                    <w:t xml:space="preserve">Total Indirect costs </w:t>
                  </w:r>
                </w:p>
              </w:tc>
              <w:tc>
                <w:tcPr>
                  <w:tcW w:w="1134" w:type="dxa"/>
                  <w:tcBorders>
                    <w:top w:val="single" w:sz="4" w:space="0" w:color="auto"/>
                    <w:left w:val="single" w:sz="4" w:space="0" w:color="auto"/>
                    <w:bottom w:val="single" w:sz="4" w:space="0" w:color="auto"/>
                    <w:right w:val="single" w:sz="4" w:space="0" w:color="auto"/>
                  </w:tcBorders>
                </w:tcPr>
                <w:p w14:paraId="36F84654" w14:textId="77777777" w:rsidR="005354B6" w:rsidRPr="005354B6" w:rsidRDefault="005354B6" w:rsidP="005354B6">
                  <w:pPr>
                    <w:spacing w:line="240" w:lineRule="auto"/>
                  </w:pPr>
                  <w:r w:rsidRPr="005354B6">
                    <w:rPr>
                      <w:i/>
                      <w:iCs/>
                    </w:rPr>
                    <w:t xml:space="preserve">7 000 </w:t>
                  </w:r>
                </w:p>
              </w:tc>
            </w:tr>
            <w:tr w:rsidR="005354B6" w:rsidRPr="005354B6" w14:paraId="1DC6958A" w14:textId="77777777">
              <w:trPr>
                <w:trHeight w:val="100"/>
              </w:trPr>
              <w:tc>
                <w:tcPr>
                  <w:tcW w:w="3085" w:type="dxa"/>
                  <w:tcBorders>
                    <w:top w:val="single" w:sz="4" w:space="0" w:color="auto"/>
                    <w:left w:val="single" w:sz="4" w:space="0" w:color="auto"/>
                    <w:bottom w:val="nil"/>
                    <w:right w:val="single" w:sz="4" w:space="0" w:color="auto"/>
                  </w:tcBorders>
                </w:tcPr>
                <w:p w14:paraId="6505E3BA" w14:textId="77777777" w:rsidR="005354B6" w:rsidRPr="005354B6" w:rsidRDefault="005354B6" w:rsidP="005354B6">
                  <w:pPr>
                    <w:spacing w:line="240" w:lineRule="auto"/>
                  </w:pPr>
                  <w:r w:rsidRPr="005354B6">
                    <w:t xml:space="preserve">Direct Staff costs </w:t>
                  </w:r>
                </w:p>
              </w:tc>
              <w:tc>
                <w:tcPr>
                  <w:tcW w:w="1134" w:type="dxa"/>
                  <w:tcBorders>
                    <w:top w:val="single" w:sz="4" w:space="0" w:color="auto"/>
                    <w:left w:val="single" w:sz="4" w:space="0" w:color="auto"/>
                    <w:bottom w:val="nil"/>
                    <w:right w:val="single" w:sz="4" w:space="0" w:color="auto"/>
                  </w:tcBorders>
                </w:tcPr>
                <w:p w14:paraId="2DFE320F" w14:textId="77777777" w:rsidR="005354B6" w:rsidRPr="005354B6" w:rsidRDefault="005354B6" w:rsidP="005354B6">
                  <w:pPr>
                    <w:spacing w:line="240" w:lineRule="auto"/>
                  </w:pPr>
                  <w:r w:rsidRPr="005354B6">
                    <w:t xml:space="preserve">30 000 </w:t>
                  </w:r>
                </w:p>
              </w:tc>
              <w:tc>
                <w:tcPr>
                  <w:tcW w:w="425" w:type="dxa"/>
                  <w:tcBorders>
                    <w:left w:val="single" w:sz="4" w:space="0" w:color="auto"/>
                    <w:right w:val="single" w:sz="4" w:space="0" w:color="auto"/>
                  </w:tcBorders>
                </w:tcPr>
                <w:p w14:paraId="0BD33AFA" w14:textId="77777777" w:rsidR="005354B6" w:rsidRPr="005354B6" w:rsidRDefault="005354B6" w:rsidP="005354B6">
                  <w:pPr>
                    <w:spacing w:line="240" w:lineRule="auto"/>
                  </w:pPr>
                </w:p>
              </w:tc>
              <w:tc>
                <w:tcPr>
                  <w:tcW w:w="2552" w:type="dxa"/>
                  <w:tcBorders>
                    <w:top w:val="single" w:sz="4" w:space="0" w:color="auto"/>
                    <w:left w:val="single" w:sz="4" w:space="0" w:color="auto"/>
                    <w:bottom w:val="nil"/>
                    <w:right w:val="single" w:sz="4" w:space="0" w:color="auto"/>
                  </w:tcBorders>
                </w:tcPr>
                <w:p w14:paraId="418A2DE9" w14:textId="77777777" w:rsidR="005354B6" w:rsidRPr="005354B6" w:rsidRDefault="005354B6" w:rsidP="005354B6">
                  <w:pPr>
                    <w:spacing w:line="240" w:lineRule="auto"/>
                  </w:pPr>
                  <w:r w:rsidRPr="005354B6">
                    <w:t xml:space="preserve">Indirect staff costs </w:t>
                  </w:r>
                </w:p>
              </w:tc>
              <w:tc>
                <w:tcPr>
                  <w:tcW w:w="1134" w:type="dxa"/>
                  <w:tcBorders>
                    <w:top w:val="single" w:sz="4" w:space="0" w:color="auto"/>
                    <w:left w:val="single" w:sz="4" w:space="0" w:color="auto"/>
                    <w:bottom w:val="nil"/>
                    <w:right w:val="single" w:sz="4" w:space="0" w:color="auto"/>
                  </w:tcBorders>
                </w:tcPr>
                <w:p w14:paraId="6D101A1C" w14:textId="77777777" w:rsidR="005354B6" w:rsidRPr="005354B6" w:rsidRDefault="005354B6" w:rsidP="005354B6">
                  <w:pPr>
                    <w:spacing w:line="240" w:lineRule="auto"/>
                  </w:pPr>
                  <w:r w:rsidRPr="005354B6">
                    <w:t xml:space="preserve">4 000 </w:t>
                  </w:r>
                </w:p>
              </w:tc>
            </w:tr>
            <w:tr w:rsidR="005354B6" w:rsidRPr="005354B6" w14:paraId="760679C2" w14:textId="77777777">
              <w:trPr>
                <w:trHeight w:val="100"/>
              </w:trPr>
              <w:tc>
                <w:tcPr>
                  <w:tcW w:w="3085" w:type="dxa"/>
                  <w:tcBorders>
                    <w:top w:val="nil"/>
                    <w:left w:val="single" w:sz="4" w:space="0" w:color="auto"/>
                    <w:bottom w:val="nil"/>
                    <w:right w:val="single" w:sz="4" w:space="0" w:color="auto"/>
                  </w:tcBorders>
                </w:tcPr>
                <w:p w14:paraId="6663A23A" w14:textId="77777777" w:rsidR="005354B6" w:rsidRPr="005354B6" w:rsidRDefault="005354B6" w:rsidP="005354B6">
                  <w:pPr>
                    <w:spacing w:line="240" w:lineRule="auto"/>
                  </w:pPr>
                  <w:r w:rsidRPr="005354B6">
                    <w:t xml:space="preserve">Room costs </w:t>
                  </w:r>
                </w:p>
              </w:tc>
              <w:tc>
                <w:tcPr>
                  <w:tcW w:w="1134" w:type="dxa"/>
                  <w:tcBorders>
                    <w:top w:val="nil"/>
                    <w:left w:val="single" w:sz="4" w:space="0" w:color="auto"/>
                    <w:bottom w:val="nil"/>
                    <w:right w:val="single" w:sz="4" w:space="0" w:color="auto"/>
                  </w:tcBorders>
                </w:tcPr>
                <w:p w14:paraId="175375C5" w14:textId="77777777" w:rsidR="005354B6" w:rsidRPr="005354B6" w:rsidRDefault="005354B6" w:rsidP="005354B6">
                  <w:pPr>
                    <w:spacing w:line="240" w:lineRule="auto"/>
                  </w:pPr>
                  <w:r w:rsidRPr="005354B6">
                    <w:t xml:space="preserve">4 000 </w:t>
                  </w:r>
                </w:p>
              </w:tc>
              <w:tc>
                <w:tcPr>
                  <w:tcW w:w="425" w:type="dxa"/>
                  <w:tcBorders>
                    <w:left w:val="single" w:sz="4" w:space="0" w:color="auto"/>
                    <w:right w:val="single" w:sz="4" w:space="0" w:color="auto"/>
                  </w:tcBorders>
                </w:tcPr>
                <w:p w14:paraId="77D9D337" w14:textId="77777777" w:rsidR="005354B6" w:rsidRPr="005354B6" w:rsidRDefault="005354B6" w:rsidP="005354B6">
                  <w:pPr>
                    <w:spacing w:line="240" w:lineRule="auto"/>
                  </w:pPr>
                </w:p>
              </w:tc>
              <w:tc>
                <w:tcPr>
                  <w:tcW w:w="2552" w:type="dxa"/>
                  <w:tcBorders>
                    <w:top w:val="nil"/>
                    <w:left w:val="single" w:sz="4" w:space="0" w:color="auto"/>
                    <w:bottom w:val="single" w:sz="4" w:space="0" w:color="auto"/>
                    <w:right w:val="single" w:sz="4" w:space="0" w:color="auto"/>
                  </w:tcBorders>
                </w:tcPr>
                <w:p w14:paraId="7A88DE36" w14:textId="77777777" w:rsidR="005354B6" w:rsidRPr="005354B6" w:rsidRDefault="005354B6" w:rsidP="005354B6">
                  <w:pPr>
                    <w:spacing w:line="240" w:lineRule="auto"/>
                  </w:pPr>
                  <w:r w:rsidRPr="005354B6">
                    <w:t xml:space="preserve">Electricity, phone. </w:t>
                  </w:r>
                </w:p>
              </w:tc>
              <w:tc>
                <w:tcPr>
                  <w:tcW w:w="1134" w:type="dxa"/>
                  <w:tcBorders>
                    <w:top w:val="nil"/>
                    <w:left w:val="single" w:sz="4" w:space="0" w:color="auto"/>
                    <w:bottom w:val="single" w:sz="4" w:space="0" w:color="auto"/>
                    <w:right w:val="single" w:sz="4" w:space="0" w:color="auto"/>
                  </w:tcBorders>
                </w:tcPr>
                <w:p w14:paraId="6FC1B9EC" w14:textId="77777777" w:rsidR="005354B6" w:rsidRPr="005354B6" w:rsidRDefault="005354B6" w:rsidP="005354B6">
                  <w:pPr>
                    <w:spacing w:line="240" w:lineRule="auto"/>
                  </w:pPr>
                  <w:r w:rsidRPr="005354B6">
                    <w:t xml:space="preserve">3 000 </w:t>
                  </w:r>
                </w:p>
              </w:tc>
            </w:tr>
            <w:tr w:rsidR="005354B6" w:rsidRPr="005354B6" w14:paraId="3D099FFF" w14:textId="77777777">
              <w:trPr>
                <w:gridAfter w:val="3"/>
                <w:wAfter w:w="4111" w:type="dxa"/>
                <w:trHeight w:val="100"/>
              </w:trPr>
              <w:tc>
                <w:tcPr>
                  <w:tcW w:w="3085" w:type="dxa"/>
                  <w:tcBorders>
                    <w:top w:val="nil"/>
                    <w:left w:val="single" w:sz="4" w:space="0" w:color="auto"/>
                    <w:bottom w:val="nil"/>
                    <w:right w:val="single" w:sz="4" w:space="0" w:color="auto"/>
                  </w:tcBorders>
                </w:tcPr>
                <w:p w14:paraId="7179FE63" w14:textId="77777777" w:rsidR="005354B6" w:rsidRPr="005354B6" w:rsidRDefault="005354B6" w:rsidP="005354B6">
                  <w:pPr>
                    <w:spacing w:line="240" w:lineRule="auto"/>
                  </w:pPr>
                  <w:r w:rsidRPr="005354B6">
                    <w:t>Travel costs</w:t>
                  </w:r>
                </w:p>
              </w:tc>
              <w:tc>
                <w:tcPr>
                  <w:tcW w:w="1134" w:type="dxa"/>
                  <w:tcBorders>
                    <w:top w:val="nil"/>
                    <w:left w:val="single" w:sz="4" w:space="0" w:color="auto"/>
                    <w:bottom w:val="nil"/>
                    <w:right w:val="single" w:sz="4" w:space="0" w:color="auto"/>
                  </w:tcBorders>
                </w:tcPr>
                <w:p w14:paraId="7020FFFE" w14:textId="77777777" w:rsidR="005354B6" w:rsidRPr="005354B6" w:rsidRDefault="005354B6" w:rsidP="005354B6">
                  <w:pPr>
                    <w:spacing w:line="240" w:lineRule="auto"/>
                  </w:pPr>
                  <w:r w:rsidRPr="005354B6">
                    <w:t>5 000</w:t>
                  </w:r>
                </w:p>
              </w:tc>
            </w:tr>
            <w:tr w:rsidR="005354B6" w:rsidRPr="005354B6" w14:paraId="55E80227" w14:textId="77777777">
              <w:trPr>
                <w:gridAfter w:val="3"/>
                <w:wAfter w:w="4111" w:type="dxa"/>
                <w:trHeight w:val="100"/>
              </w:trPr>
              <w:tc>
                <w:tcPr>
                  <w:tcW w:w="3085" w:type="dxa"/>
                  <w:tcBorders>
                    <w:top w:val="nil"/>
                    <w:left w:val="single" w:sz="4" w:space="0" w:color="auto"/>
                    <w:bottom w:val="nil"/>
                    <w:right w:val="single" w:sz="4" w:space="0" w:color="auto"/>
                  </w:tcBorders>
                </w:tcPr>
                <w:p w14:paraId="354BC2B1" w14:textId="77777777" w:rsidR="005354B6" w:rsidRPr="005354B6" w:rsidRDefault="005354B6" w:rsidP="005354B6">
                  <w:pPr>
                    <w:spacing w:line="240" w:lineRule="auto"/>
                  </w:pPr>
                  <w:r w:rsidRPr="005354B6">
                    <w:t>Meals</w:t>
                  </w:r>
                </w:p>
              </w:tc>
              <w:tc>
                <w:tcPr>
                  <w:tcW w:w="1134" w:type="dxa"/>
                  <w:tcBorders>
                    <w:top w:val="nil"/>
                    <w:left w:val="single" w:sz="4" w:space="0" w:color="auto"/>
                    <w:bottom w:val="nil"/>
                    <w:right w:val="single" w:sz="4" w:space="0" w:color="auto"/>
                  </w:tcBorders>
                </w:tcPr>
                <w:p w14:paraId="3678DDF6" w14:textId="77777777" w:rsidR="005354B6" w:rsidRPr="005354B6" w:rsidRDefault="005354B6" w:rsidP="005354B6">
                  <w:pPr>
                    <w:spacing w:line="240" w:lineRule="auto"/>
                  </w:pPr>
                  <w:r w:rsidRPr="005354B6">
                    <w:t>1 000</w:t>
                  </w:r>
                </w:p>
              </w:tc>
            </w:tr>
            <w:tr w:rsidR="005354B6" w:rsidRPr="005354B6" w14:paraId="414DC9E8" w14:textId="77777777">
              <w:trPr>
                <w:gridAfter w:val="3"/>
                <w:wAfter w:w="4111" w:type="dxa"/>
                <w:trHeight w:val="74"/>
              </w:trPr>
              <w:tc>
                <w:tcPr>
                  <w:tcW w:w="3085" w:type="dxa"/>
                  <w:tcBorders>
                    <w:top w:val="nil"/>
                    <w:left w:val="single" w:sz="4" w:space="0" w:color="auto"/>
                    <w:bottom w:val="single" w:sz="4" w:space="0" w:color="auto"/>
                    <w:right w:val="single" w:sz="4" w:space="0" w:color="auto"/>
                  </w:tcBorders>
                </w:tcPr>
                <w:p w14:paraId="40A77F90" w14:textId="77777777" w:rsidR="005354B6" w:rsidRPr="005354B6" w:rsidRDefault="005354B6" w:rsidP="005354B6">
                  <w:pPr>
                    <w:spacing w:line="240" w:lineRule="auto"/>
                  </w:pPr>
                  <w:r w:rsidRPr="005354B6">
                    <w:t>Information / Publicity</w:t>
                  </w:r>
                </w:p>
              </w:tc>
              <w:tc>
                <w:tcPr>
                  <w:tcW w:w="1134" w:type="dxa"/>
                  <w:tcBorders>
                    <w:top w:val="nil"/>
                    <w:left w:val="single" w:sz="4" w:space="0" w:color="auto"/>
                    <w:bottom w:val="single" w:sz="4" w:space="0" w:color="auto"/>
                    <w:right w:val="single" w:sz="4" w:space="0" w:color="auto"/>
                  </w:tcBorders>
                </w:tcPr>
                <w:p w14:paraId="74D598A4" w14:textId="77777777" w:rsidR="005354B6" w:rsidRPr="005354B6" w:rsidRDefault="005354B6" w:rsidP="005354B6">
                  <w:pPr>
                    <w:spacing w:line="240" w:lineRule="auto"/>
                  </w:pPr>
                  <w:r w:rsidRPr="005354B6">
                    <w:t>5 000</w:t>
                  </w:r>
                </w:p>
              </w:tc>
            </w:tr>
          </w:tbl>
          <w:p w14:paraId="6047ACB6" w14:textId="77777777" w:rsidR="005354B6" w:rsidRPr="005354B6" w:rsidRDefault="005354B6" w:rsidP="005354B6">
            <w:pPr>
              <w:rPr>
                <w:b w:val="0"/>
                <w:bCs w:val="0"/>
              </w:rPr>
            </w:pPr>
            <w:r w:rsidRPr="005354B6">
              <w:rPr>
                <w:b w:val="0"/>
                <w:bCs w:val="0"/>
              </w:rPr>
              <w:t xml:space="preserve">This draft budget is discussed and agreed between the managing authority and the beneficiary. The calculation of the simplified cost option will be based on these data. </w:t>
            </w:r>
          </w:p>
          <w:p w14:paraId="38B99D61" w14:textId="77777777" w:rsidR="005354B6" w:rsidRPr="005354B6" w:rsidRDefault="005354B6" w:rsidP="005354B6">
            <w:pPr>
              <w:rPr>
                <w:b w:val="0"/>
                <w:bCs w:val="0"/>
              </w:rPr>
            </w:pPr>
            <w:r w:rsidRPr="005354B6">
              <w:rPr>
                <w:b w:val="0"/>
                <w:bCs w:val="0"/>
              </w:rPr>
              <w:lastRenderedPageBreak/>
              <w:t xml:space="preserve">The managing authority could decide to calculate the grant </w:t>
            </w:r>
            <w:proofErr w:type="gramStart"/>
            <w:r w:rsidRPr="005354B6">
              <w:rPr>
                <w:b w:val="0"/>
                <w:bCs w:val="0"/>
              </w:rPr>
              <w:t>on the basis of</w:t>
            </w:r>
            <w:proofErr w:type="gramEnd"/>
            <w:r w:rsidRPr="005354B6">
              <w:rPr>
                <w:b w:val="0"/>
                <w:bCs w:val="0"/>
              </w:rPr>
              <w:t xml:space="preserve"> a unit cost, based on the number of participants at the seminar: unit cost = EUR 52 000/50 = EUR 1 040 / participant. </w:t>
            </w:r>
          </w:p>
          <w:p w14:paraId="43D77538" w14:textId="77777777" w:rsidR="005354B6" w:rsidRPr="005354B6" w:rsidRDefault="005354B6" w:rsidP="005354B6">
            <w:pPr>
              <w:rPr>
                <w:b w:val="0"/>
                <w:bCs w:val="0"/>
              </w:rPr>
            </w:pPr>
            <w:r w:rsidRPr="005354B6">
              <w:rPr>
                <w:b w:val="0"/>
                <w:bCs w:val="0"/>
              </w:rPr>
              <w:t xml:space="preserve">The document drawn up between the managing authority and the beneficiary setting out the </w:t>
            </w:r>
            <w:r w:rsidRPr="005354B6">
              <w:rPr>
                <w:b w:val="0"/>
                <w:bCs w:val="0"/>
                <w:iCs/>
              </w:rPr>
              <w:t>conditions for support must</w:t>
            </w:r>
            <w:r w:rsidRPr="005354B6">
              <w:rPr>
                <w:b w:val="0"/>
                <w:bCs w:val="0"/>
              </w:rPr>
              <w:t xml:space="preserve"> specify the definition of the standard scales of unit costs (what is a participant), the maximum (minimum) number of participants, how it should be justified and its unit cost (EUR 1 040). </w:t>
            </w:r>
          </w:p>
          <w:p w14:paraId="3BB8BD29" w14:textId="77777777" w:rsidR="005354B6" w:rsidRPr="005354B6" w:rsidRDefault="005354B6" w:rsidP="005354B6">
            <w:pPr>
              <w:rPr>
                <w:b w:val="0"/>
                <w:bCs w:val="0"/>
              </w:rPr>
            </w:pPr>
            <w:r w:rsidRPr="005354B6">
              <w:rPr>
                <w:b w:val="0"/>
                <w:bCs w:val="0"/>
              </w:rPr>
              <w:t>Furthermore, the flat rates enshrined in Articles 54 to 56 CPR may be applied to establish the relevant categories of costs of a draft budget.</w:t>
            </w:r>
          </w:p>
          <w:p w14:paraId="54D9BB21" w14:textId="54415097" w:rsidR="005354B6" w:rsidRDefault="005354B6" w:rsidP="002F0215">
            <w:r w:rsidRPr="005354B6">
              <w:rPr>
                <w:b w:val="0"/>
                <w:bCs w:val="0"/>
              </w:rPr>
              <w:t>Reference to Article 53(3)(b) CPR is made in the document setting out the conditions for support.</w:t>
            </w:r>
          </w:p>
        </w:tc>
      </w:tr>
    </w:tbl>
    <w:p w14:paraId="48DE38EC" w14:textId="63986DE9" w:rsidR="04009971" w:rsidRDefault="04009971"/>
    <w:p w14:paraId="418CA7AF" w14:textId="119308F5" w:rsidR="007E3D86" w:rsidRPr="004E6DE3" w:rsidRDefault="00461745" w:rsidP="004E6DE3">
      <w:pPr>
        <w:pStyle w:val="Heading3"/>
        <w:numPr>
          <w:ilvl w:val="2"/>
          <w:numId w:val="92"/>
        </w:numPr>
        <w:rPr>
          <w:color w:val="4472C4" w:themeColor="accent1"/>
        </w:rPr>
      </w:pPr>
      <w:bookmarkStart w:id="36" w:name="_Ref163485014"/>
      <w:bookmarkStart w:id="37" w:name="_Toc168350312"/>
      <w:r w:rsidRPr="004E6DE3">
        <w:rPr>
          <w:color w:val="4472C4" w:themeColor="accent1"/>
        </w:rPr>
        <w:t>Use of simplified cost option from Union policies</w:t>
      </w:r>
      <w:bookmarkEnd w:id="36"/>
      <w:bookmarkEnd w:id="37"/>
    </w:p>
    <w:p w14:paraId="3D884066" w14:textId="77777777" w:rsidR="0001761A" w:rsidRDefault="00406EF0" w:rsidP="0001761A">
      <w:bookmarkStart w:id="38" w:name="_Hlk164420572"/>
      <w:r w:rsidRPr="00406EF0">
        <w:t>According to Article</w:t>
      </w:r>
      <w:r w:rsidR="00961327">
        <w:t>s</w:t>
      </w:r>
      <w:r w:rsidRPr="00406EF0">
        <w:t xml:space="preserve"> 53(3)(c)</w:t>
      </w:r>
      <w:r w:rsidR="00127F22">
        <w:t xml:space="preserve"> and </w:t>
      </w:r>
      <w:r w:rsidR="00961327">
        <w:t>94</w:t>
      </w:r>
      <w:r w:rsidR="00127F22">
        <w:t>(2)</w:t>
      </w:r>
      <w:r w:rsidR="00961327">
        <w:t>(c)</w:t>
      </w:r>
      <w:r w:rsidRPr="00406EF0">
        <w:t xml:space="preserve"> CPR, the managing authority can make use of corresponding unit costs, lump </w:t>
      </w:r>
      <w:proofErr w:type="gramStart"/>
      <w:r w:rsidRPr="00406EF0">
        <w:t>sums</w:t>
      </w:r>
      <w:proofErr w:type="gramEnd"/>
      <w:r w:rsidRPr="00406EF0">
        <w:t xml:space="preserve"> and flat rates applicable in Union policies for a </w:t>
      </w:r>
      <w:r w:rsidRPr="0001761A">
        <w:rPr>
          <w:b/>
          <w:bCs/>
          <w:color w:val="4472C4" w:themeColor="accent1"/>
        </w:rPr>
        <w:t>similar type of operation</w:t>
      </w:r>
      <w:bookmarkEnd w:id="38"/>
      <w:r w:rsidRPr="00406EF0">
        <w:t xml:space="preserve">. The main aim of this method is to harmonise the rules between Union policies. The intention is to clarify that where simplified cost options are already developed for a particular type of operation under an EU policy, the Member State does not need to duplicate this effort under the CPR Funds policies and can re-use the method and its results. </w:t>
      </w:r>
    </w:p>
    <w:p w14:paraId="53285868" w14:textId="2F4BB700" w:rsidR="00152938" w:rsidRDefault="0001761A" w:rsidP="00406EF0">
      <w:r w:rsidRPr="00406EF0">
        <w:t xml:space="preserve">All the applicable methods under Union policies could be used for similar operations if the </w:t>
      </w:r>
      <w:r w:rsidRPr="006977FC">
        <w:rPr>
          <w:b/>
          <w:bCs/>
          <w:color w:val="4472C4" w:themeColor="accent1"/>
        </w:rPr>
        <w:t>Union policies are in force</w:t>
      </w:r>
      <w:r w:rsidRPr="006977FC">
        <w:rPr>
          <w:color w:val="4472C4" w:themeColor="accent1"/>
        </w:rPr>
        <w:t xml:space="preserve"> </w:t>
      </w:r>
      <w:r w:rsidRPr="00406EF0">
        <w:t>at the time of the design of the methodology.</w:t>
      </w:r>
      <w:r w:rsidRPr="0001761A">
        <w:t xml:space="preserve"> </w:t>
      </w:r>
      <w:r w:rsidR="00152938" w:rsidRPr="00152938">
        <w:t xml:space="preserve">The methods </w:t>
      </w:r>
      <w:r w:rsidR="00152938">
        <w:t>from Union policies</w:t>
      </w:r>
      <w:r w:rsidR="00152938" w:rsidRPr="00152938">
        <w:t xml:space="preserve"> can be used without additional calculations </w:t>
      </w:r>
      <w:r w:rsidR="00152938">
        <w:t xml:space="preserve">and </w:t>
      </w:r>
      <w:r w:rsidR="00152938" w:rsidRPr="00152938">
        <w:t>will not be subject to audits; audits will only assess whether the chosen method is well justified and how it is applied.</w:t>
      </w:r>
    </w:p>
    <w:p w14:paraId="55C71FE1" w14:textId="05B6E604" w:rsidR="0001761A" w:rsidRPr="00406EF0" w:rsidRDefault="440DF58E" w:rsidP="00406EF0">
      <w:r>
        <w:t xml:space="preserve">The method needs to be used in its </w:t>
      </w:r>
      <w:r w:rsidRPr="30D7A848">
        <w:rPr>
          <w:b/>
          <w:bCs/>
          <w:color w:val="4472C4" w:themeColor="accent1"/>
        </w:rPr>
        <w:t>entirety</w:t>
      </w:r>
      <w:r>
        <w:t>: for instance</w:t>
      </w:r>
      <w:r w:rsidR="5C699075">
        <w:t>,</w:t>
      </w:r>
      <w:r>
        <w:t xml:space="preserve"> the definition of direct / indirect costs, eligible expenditure, scope, updates) and not only its result (the rate of X %</w:t>
      </w:r>
      <w:r w:rsidR="5C699075">
        <w:t>)</w:t>
      </w:r>
      <w:r>
        <w:t>. As a general principle, all elements of the method that could have an impact on the unit cost / lump sum / flat rate should be taken into consideration. A case-by-case examination is necessary.</w:t>
      </w:r>
    </w:p>
    <w:p w14:paraId="710CE13B" w14:textId="272B6F67" w:rsidR="0001761A" w:rsidRDefault="0001761A" w:rsidP="00DC3D97">
      <w:pPr>
        <w:ind w:left="851"/>
      </w:pPr>
      <w:r w:rsidRPr="00071D57">
        <w:t xml:space="preserve">There is no indication in the CPR of what is understood by similarity of operations. </w:t>
      </w:r>
      <w:r w:rsidR="00DC3D97">
        <w:rPr>
          <w:noProof/>
          <w:color w:val="2B579A"/>
          <w:shd w:val="clear" w:color="auto" w:fill="E6E6E6"/>
        </w:rPr>
        <w:drawing>
          <wp:anchor distT="0" distB="0" distL="114300" distR="114300" simplePos="0" relativeHeight="251636224" behindDoc="0" locked="0" layoutInCell="1" allowOverlap="1" wp14:anchorId="09DE929C" wp14:editId="64633D03">
            <wp:simplePos x="0" y="0"/>
            <wp:positionH relativeFrom="margin">
              <wp:align>left</wp:align>
            </wp:positionH>
            <wp:positionV relativeFrom="paragraph">
              <wp:posOffset>88900</wp:posOffset>
            </wp:positionV>
            <wp:extent cx="406400" cy="406400"/>
            <wp:effectExtent l="0" t="0" r="0" b="0"/>
            <wp:wrapSquare wrapText="bothSides"/>
            <wp:docPr id="14" name="Graphic 14" descr="Magnifying glas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descr="Magnifying glass with solid fill"/>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406400" cy="406400"/>
                    </a:xfrm>
                    <a:prstGeom prst="rect">
                      <a:avLst/>
                    </a:prstGeom>
                  </pic:spPr>
                </pic:pic>
              </a:graphicData>
            </a:graphic>
            <wp14:sizeRelH relativeFrom="margin">
              <wp14:pctWidth>0</wp14:pctWidth>
            </wp14:sizeRelH>
            <wp14:sizeRelV relativeFrom="margin">
              <wp14:pctHeight>0</wp14:pctHeight>
            </wp14:sizeRelV>
          </wp:anchor>
        </w:drawing>
      </w:r>
      <w:r w:rsidR="00406EF0" w:rsidRPr="00406EF0">
        <w:t xml:space="preserve">It is for the managing authority to assess </w:t>
      </w:r>
      <w:r>
        <w:t>on a case-by-case basis</w:t>
      </w:r>
      <w:r w:rsidRPr="00071D57">
        <w:t xml:space="preserve"> </w:t>
      </w:r>
      <w:r w:rsidR="00406EF0" w:rsidRPr="00406EF0">
        <w:t xml:space="preserve">whether in a particular case the condition of </w:t>
      </w:r>
      <w:r w:rsidR="00406EF0" w:rsidRPr="00006291">
        <w:rPr>
          <w:b/>
          <w:bCs/>
          <w:color w:val="4472C4" w:themeColor="accent1"/>
        </w:rPr>
        <w:t>similarity</w:t>
      </w:r>
      <w:r w:rsidR="00406EF0" w:rsidRPr="00006291">
        <w:rPr>
          <w:color w:val="4472C4" w:themeColor="accent1"/>
        </w:rPr>
        <w:t xml:space="preserve"> </w:t>
      </w:r>
      <w:r w:rsidR="00406EF0" w:rsidRPr="00406EF0">
        <w:t xml:space="preserve">is fulfilled. </w:t>
      </w:r>
    </w:p>
    <w:p w14:paraId="037BC415" w14:textId="3D7E4364" w:rsidR="00E207C9" w:rsidRDefault="00E207C9" w:rsidP="00406EF0">
      <w:r w:rsidRPr="00406EF0">
        <w:t xml:space="preserve">If the </w:t>
      </w:r>
      <w:r w:rsidRPr="00406EF0">
        <w:t xml:space="preserve">method under the Union policy is modified during the programming </w:t>
      </w:r>
      <w:proofErr w:type="gramStart"/>
      <w:r w:rsidRPr="00406EF0">
        <w:t>period</w:t>
      </w:r>
      <w:proofErr w:type="gramEnd"/>
      <w:r w:rsidRPr="00406EF0">
        <w:t xml:space="preserve"> then the same modification should apply to the CPR Funds projects selected launched after the modification.</w:t>
      </w:r>
      <w:r w:rsidR="00CE440B">
        <w:t xml:space="preserve"> </w:t>
      </w:r>
      <w:proofErr w:type="gramStart"/>
      <w:r>
        <w:t>Any</w:t>
      </w:r>
      <w:proofErr w:type="gramEnd"/>
      <w:r>
        <w:t xml:space="preserve"> modification </w:t>
      </w:r>
      <w:r>
        <w:t xml:space="preserve">with regard to the </w:t>
      </w:r>
      <w:r w:rsidR="002A1ACA">
        <w:t xml:space="preserve">method under Union policy which was used to setup a methodology under Article 94 CPR must be </w:t>
      </w:r>
      <w:r w:rsidR="00531351">
        <w:t xml:space="preserve">reflected in the Appendix 1 CPR via a request for amendment to the programme that needs to be approved by Commission decision. </w:t>
      </w:r>
    </w:p>
    <w:p w14:paraId="57CCA01E" w14:textId="5A261EE3" w:rsidR="00406EF0" w:rsidRDefault="00C838C6" w:rsidP="00406EF0">
      <w:r>
        <w:t xml:space="preserve">Examples </w:t>
      </w:r>
      <w:r w:rsidR="006104C5" w:rsidRPr="006104C5">
        <w:t xml:space="preserve">of </w:t>
      </w:r>
      <w:r w:rsidR="006104C5">
        <w:t xml:space="preserve">SCOs in </w:t>
      </w:r>
      <w:r w:rsidR="006104C5" w:rsidRPr="006104C5">
        <w:t>Union policies</w:t>
      </w:r>
      <w:r>
        <w:t xml:space="preserve"> are</w:t>
      </w:r>
      <w:r w:rsidR="006104C5">
        <w:t>:</w:t>
      </w:r>
    </w:p>
    <w:p w14:paraId="5BE9F9D7" w14:textId="61B66FC1" w:rsidR="00ED7340" w:rsidRDefault="00ED7340" w:rsidP="00ED7340">
      <w:pPr>
        <w:pStyle w:val="ListParagraph"/>
        <w:numPr>
          <w:ilvl w:val="0"/>
          <w:numId w:val="45"/>
        </w:numPr>
      </w:pPr>
      <w:r w:rsidRPr="00CE440B">
        <w:rPr>
          <w:b/>
          <w:bCs/>
          <w:color w:val="4472C4" w:themeColor="accent1"/>
        </w:rPr>
        <w:t>Erasmus+:</w:t>
      </w:r>
      <w:r>
        <w:t xml:space="preserve"> lump sums and unit costs (e.g., rates for travel distance, linguistic support, preparatory visits, course fees, organisation of the intensive programmes) are used in the </w:t>
      </w:r>
      <w:proofErr w:type="gramStart"/>
      <w:r>
        <w:t>programme;</w:t>
      </w:r>
      <w:proofErr w:type="gramEnd"/>
    </w:p>
    <w:p w14:paraId="3A2295EE" w14:textId="310FD69F" w:rsidR="00ED7340" w:rsidRDefault="00ED7340" w:rsidP="00ED7340">
      <w:pPr>
        <w:pStyle w:val="ListParagraph"/>
        <w:numPr>
          <w:ilvl w:val="0"/>
          <w:numId w:val="45"/>
        </w:numPr>
      </w:pPr>
      <w:r w:rsidRPr="00CE440B">
        <w:rPr>
          <w:b/>
          <w:bCs/>
          <w:color w:val="4472C4" w:themeColor="accent1"/>
        </w:rPr>
        <w:t>Citizens, Equality, Rights and Values (CERV) programme</w:t>
      </w:r>
      <w:r>
        <w:t>: lump sums per participant in in-situ and physical events are defined in the EC decision authorising the use of lump sums for actions under the CERV programme (2021-2027</w:t>
      </w:r>
      <w:proofErr w:type="gramStart"/>
      <w:r>
        <w:t>);</w:t>
      </w:r>
      <w:proofErr w:type="gramEnd"/>
    </w:p>
    <w:p w14:paraId="5BDEA9B8" w14:textId="7FD3B180" w:rsidR="00ED7340" w:rsidRDefault="00ED7340" w:rsidP="00ED7340">
      <w:pPr>
        <w:pStyle w:val="ListParagraph"/>
        <w:numPr>
          <w:ilvl w:val="0"/>
          <w:numId w:val="45"/>
        </w:numPr>
      </w:pPr>
      <w:r w:rsidRPr="00CE440B">
        <w:rPr>
          <w:b/>
          <w:bCs/>
          <w:color w:val="4472C4" w:themeColor="accent1"/>
        </w:rPr>
        <w:t>Horizon Europe</w:t>
      </w:r>
      <w:r w:rsidRPr="00ED7340">
        <w:rPr>
          <w:b/>
          <w:bCs/>
        </w:rPr>
        <w:t xml:space="preserve">: </w:t>
      </w:r>
      <w:r>
        <w:t>3 types of SCOs can be found from Horizon Europe (flat rate, unit costs, lump sums)</w:t>
      </w:r>
      <w:r w:rsidR="00131D21">
        <w:t xml:space="preserve"> set out in Commission decisions</w:t>
      </w:r>
      <w:r>
        <w:t xml:space="preserve">; – e.g., unit costs for SME owners, unit costs for staff mobility, lump sums and unit costs for Marie </w:t>
      </w:r>
      <w:proofErr w:type="spellStart"/>
      <w:r>
        <w:t>Skłodowska</w:t>
      </w:r>
      <w:proofErr w:type="spellEnd"/>
      <w:r>
        <w:t xml:space="preserve">-Curie </w:t>
      </w:r>
      <w:proofErr w:type="gramStart"/>
      <w:r>
        <w:t>action;</w:t>
      </w:r>
      <w:proofErr w:type="gramEnd"/>
    </w:p>
    <w:p w14:paraId="18977AEA" w14:textId="33237173" w:rsidR="006104C5" w:rsidRPr="00406EF0" w:rsidRDefault="00ED7340" w:rsidP="00ED7340">
      <w:pPr>
        <w:pStyle w:val="ListParagraph"/>
        <w:numPr>
          <w:ilvl w:val="0"/>
          <w:numId w:val="45"/>
        </w:numPr>
      </w:pPr>
      <w:r w:rsidRPr="00CE440B">
        <w:rPr>
          <w:b/>
          <w:bCs/>
          <w:color w:val="4472C4" w:themeColor="accent1"/>
        </w:rPr>
        <w:t>European Solidarity Corps</w:t>
      </w:r>
      <w:r>
        <w:t xml:space="preserve">: the decision authorising the use of lump sums, unit costs (e.g., travel costs, organisational support, project management support, staff costs, linguistic support, coaching costs) and flat-rate financing for volunteering, traineeships, </w:t>
      </w:r>
      <w:proofErr w:type="gramStart"/>
      <w:r>
        <w:t>jobs</w:t>
      </w:r>
      <w:proofErr w:type="gramEnd"/>
      <w:r>
        <w:t xml:space="preserve"> and Solidarity Projects.</w:t>
      </w:r>
    </w:p>
    <w:p w14:paraId="23ACC6FD" w14:textId="5B1110D5" w:rsidR="00461745" w:rsidRPr="004E6DE3" w:rsidRDefault="00461745" w:rsidP="004E6DE3">
      <w:pPr>
        <w:pStyle w:val="Heading3"/>
        <w:numPr>
          <w:ilvl w:val="2"/>
          <w:numId w:val="92"/>
        </w:numPr>
        <w:jc w:val="both"/>
        <w:rPr>
          <w:color w:val="4472C4" w:themeColor="accent1"/>
        </w:rPr>
      </w:pPr>
      <w:bookmarkStart w:id="39" w:name="_Toc168350313"/>
      <w:r w:rsidRPr="004E6DE3">
        <w:rPr>
          <w:color w:val="4472C4" w:themeColor="accent1"/>
        </w:rPr>
        <w:lastRenderedPageBreak/>
        <w:t>Use of simplified cost options from schemes for grants funded entirely by Member States</w:t>
      </w:r>
      <w:bookmarkEnd w:id="39"/>
    </w:p>
    <w:p w14:paraId="02F1ED88" w14:textId="7E36E51E" w:rsidR="00581957" w:rsidRDefault="53E1D2E4" w:rsidP="00581957">
      <w:r>
        <w:t xml:space="preserve">According to Articles 53(3)(d) and 94(2)(d) CPR, the managing authority can make use of corresponding unit costs, lump </w:t>
      </w:r>
      <w:proofErr w:type="gramStart"/>
      <w:r>
        <w:t>sums</w:t>
      </w:r>
      <w:proofErr w:type="gramEnd"/>
      <w:r>
        <w:t xml:space="preserve"> and flat rates applicable under schemes for grants funded </w:t>
      </w:r>
      <w:r w:rsidRPr="30D7A848">
        <w:t>entirely b</w:t>
      </w:r>
      <w:r>
        <w:t xml:space="preserve">y the Member State for a </w:t>
      </w:r>
      <w:r w:rsidRPr="1B560810">
        <w:rPr>
          <w:b/>
          <w:bCs/>
          <w:color w:val="4472C4" w:themeColor="accent1"/>
        </w:rPr>
        <w:t>similar type of operation.</w:t>
      </w:r>
      <w:r>
        <w:t xml:space="preserve"> </w:t>
      </w:r>
      <w:bookmarkStart w:id="40" w:name="_Hlk164419335"/>
      <w:r w:rsidR="5BCAFFC5">
        <w:t xml:space="preserve">Simplified cost options used under national support schemes (such as scholarships, daily allowances) </w:t>
      </w:r>
      <w:bookmarkStart w:id="41" w:name="_Hlk164420775"/>
      <w:r w:rsidR="5BCAFFC5">
        <w:t>can be used without additional calculations</w:t>
      </w:r>
      <w:bookmarkEnd w:id="41"/>
      <w:r w:rsidR="5BCAFFC5">
        <w:t xml:space="preserve">, if the </w:t>
      </w:r>
      <w:r w:rsidR="5BCAFFC5" w:rsidRPr="1B560810">
        <w:rPr>
          <w:b/>
          <w:bCs/>
          <w:color w:val="4472C4" w:themeColor="accent1"/>
        </w:rPr>
        <w:t>national schemes are in force</w:t>
      </w:r>
      <w:r w:rsidR="5BCAFFC5" w:rsidRPr="1B560810">
        <w:rPr>
          <w:color w:val="4472C4" w:themeColor="accent1"/>
        </w:rPr>
        <w:t xml:space="preserve"> </w:t>
      </w:r>
      <w:r w:rsidR="5BCAFFC5" w:rsidRPr="1B560810">
        <w:rPr>
          <w:b/>
          <w:bCs/>
          <w:color w:val="4472C4" w:themeColor="accent1"/>
        </w:rPr>
        <w:t>at the time of the design of the methodology</w:t>
      </w:r>
      <w:r w:rsidR="5BCAFFC5">
        <w:t xml:space="preserve">. </w:t>
      </w:r>
      <w:bookmarkStart w:id="42" w:name="_Hlk164420716"/>
      <w:bookmarkStart w:id="43" w:name="_Hlk50391161"/>
      <w:r w:rsidR="5BCAFFC5">
        <w:t>The national methods used will not be subject to audits; audits will only assess whether the chosen method is well justified and how it is applied.</w:t>
      </w:r>
      <w:bookmarkEnd w:id="42"/>
    </w:p>
    <w:bookmarkEnd w:id="40"/>
    <w:p w14:paraId="4E13B04A" w14:textId="770C77F6" w:rsidR="00FF5197" w:rsidRPr="00581957" w:rsidRDefault="00FF5197" w:rsidP="00581957">
      <w:r w:rsidRPr="00FF5197">
        <w:t>According to the second paragraph of Article 54 CPR, flat rates for indirect costs calculated in accordance with point (a) of Article 67(5) of Regulation (EU) No 1303/2013, i.e., based on a fair, equitable and verifiable method, may be used for similar operations financed in the 2021-2027 programming period. The flat rates mentioned above may be used for the purposes of Article 54(c) CPR, i.e.</w:t>
      </w:r>
      <w:r>
        <w:t>,</w:t>
      </w:r>
      <w:r w:rsidRPr="00FF5197">
        <w:t xml:space="preserve"> to justify the rate of up to 25% of eligible direct costs to reimburse indirect costs.</w:t>
      </w:r>
      <w:r>
        <w:t xml:space="preserve"> Thus, the ceiling of up to 25% established in Article 54(c) CPR applies to these flat rates.</w:t>
      </w:r>
    </w:p>
    <w:bookmarkEnd w:id="43"/>
    <w:p w14:paraId="70D6AA24" w14:textId="52C4EADE" w:rsidR="00E207C9" w:rsidRPr="005170E3" w:rsidRDefault="1DDBD980" w:rsidP="00E207C9">
      <w:r w:rsidRPr="005170E3">
        <w:t xml:space="preserve">All the applicable national methods </w:t>
      </w:r>
      <w:r w:rsidRPr="002A5E53">
        <w:rPr>
          <w:b/>
          <w:bCs/>
          <w:color w:val="4472C4" w:themeColor="accent1"/>
        </w:rPr>
        <w:t xml:space="preserve">may be used for similar operations supported by the CPR Funds </w:t>
      </w:r>
      <w:r w:rsidR="30014134">
        <w:t xml:space="preserve">(see section </w:t>
      </w:r>
      <w:r w:rsidR="06800705">
        <w:t xml:space="preserve">3.2.3 </w:t>
      </w:r>
      <w:r w:rsidR="3F5C32F8">
        <w:t>regarding the notion of ‘similarity’</w:t>
      </w:r>
      <w:r w:rsidR="32D17E41">
        <w:t>)</w:t>
      </w:r>
      <w:r w:rsidRPr="005170E3">
        <w:t>. For example, an operation supporting apprenticeships funded entirely by national/regional resources can be considered a national scheme.</w:t>
      </w:r>
      <w:r w:rsidR="2ACAEBCC" w:rsidRPr="00E207C9">
        <w:t xml:space="preserve"> </w:t>
      </w:r>
      <w:r w:rsidR="2ACAEBCC">
        <w:t>T</w:t>
      </w:r>
      <w:r w:rsidR="2ACAEBCC" w:rsidRPr="005170E3">
        <w:t xml:space="preserve">he method </w:t>
      </w:r>
      <w:r w:rsidR="2ACAEBCC">
        <w:t>should be</w:t>
      </w:r>
      <w:r w:rsidR="2ACAEBCC" w:rsidRPr="005170E3">
        <w:t xml:space="preserve"> </w:t>
      </w:r>
      <w:r w:rsidR="2ACAEBCC" w:rsidRPr="00E207C9">
        <w:rPr>
          <w:b/>
          <w:bCs/>
          <w:color w:val="4472C4" w:themeColor="accent1"/>
        </w:rPr>
        <w:t xml:space="preserve">re-used in its entirety </w:t>
      </w:r>
      <w:r w:rsidR="2ACAEBCC" w:rsidRPr="005170E3">
        <w:t>and not only its result</w:t>
      </w:r>
      <w:r w:rsidR="2ACAEBCC">
        <w:t xml:space="preserve">. </w:t>
      </w:r>
      <w:r w:rsidR="2ACAEBCC" w:rsidRPr="005170E3">
        <w:t xml:space="preserve">Regional or other local calculation methods may also be used but normally </w:t>
      </w:r>
      <w:proofErr w:type="gramStart"/>
      <w:r w:rsidR="2ACAEBCC" w:rsidRPr="005170E3">
        <w:t>have to</w:t>
      </w:r>
      <w:proofErr w:type="gramEnd"/>
      <w:r w:rsidR="2ACAEBCC" w:rsidRPr="005170E3">
        <w:t xml:space="preserve"> be </w:t>
      </w:r>
      <w:r w:rsidR="2ACAEBCC" w:rsidRPr="00E207C9">
        <w:rPr>
          <w:b/>
          <w:bCs/>
          <w:color w:val="4472C4" w:themeColor="accent1"/>
        </w:rPr>
        <w:t>applied to the geographical area in which they are in use or a smaller one</w:t>
      </w:r>
      <w:r w:rsidR="2ACAEBCC" w:rsidRPr="005170E3">
        <w:t xml:space="preserve"> (</w:t>
      </w:r>
      <w:r w:rsidR="2ACAEBCC">
        <w:t>e.g.,</w:t>
      </w:r>
      <w:r w:rsidR="2ACAEBCC" w:rsidRPr="005170E3">
        <w:t xml:space="preserve"> if a methodology is applied in only one region, it can be re-used by the region concerned but not by another region of this Member State where the national methodology is not applicable)</w:t>
      </w:r>
      <w:r w:rsidR="2ACAEBCC">
        <w:t xml:space="preserve">. </w:t>
      </w:r>
    </w:p>
    <w:p w14:paraId="5DE5AAA6" w14:textId="77777777" w:rsidR="005170E3" w:rsidRPr="005170E3" w:rsidRDefault="005170E3" w:rsidP="005170E3">
      <w:r w:rsidRPr="005170E3">
        <w:t xml:space="preserve">If the method is modified during the programming period, the same modification should apply but only to the CPR Funds projects </w:t>
      </w:r>
      <w:r w:rsidRPr="002A5E53">
        <w:t>selected</w:t>
      </w:r>
      <w:r w:rsidRPr="005170E3">
        <w:t xml:space="preserve"> under calls launched after the modification.</w:t>
      </w:r>
    </w:p>
    <w:p w14:paraId="51037137" w14:textId="5DA72672" w:rsidR="005170E3" w:rsidRDefault="2EBFA5B6" w:rsidP="00850BEB">
      <w:bookmarkStart w:id="44" w:name="_Hlk164422812"/>
      <w:r>
        <w:t xml:space="preserve">Any modification </w:t>
      </w:r>
      <w:proofErr w:type="gramStart"/>
      <w:r>
        <w:t>with regard to</w:t>
      </w:r>
      <w:proofErr w:type="gramEnd"/>
      <w:r>
        <w:t xml:space="preserve"> the national method which was used to set</w:t>
      </w:r>
      <w:r w:rsidR="186FABD2">
        <w:t xml:space="preserve"> </w:t>
      </w:r>
      <w:r>
        <w:t>up a methodology under Article 94 CPR must be reflected in the Appendix 1 CPR via a request for amendment to the programme that needs to be approved by Commission decision</w:t>
      </w:r>
      <w:r w:rsidR="19C9A5F5">
        <w:t>.</w:t>
      </w:r>
      <w:bookmarkEnd w:id="44"/>
    </w:p>
    <w:p w14:paraId="6D3A71DF" w14:textId="5021B46C" w:rsidR="00461745" w:rsidRPr="004E6DE3" w:rsidRDefault="00461745" w:rsidP="004E6DE3">
      <w:pPr>
        <w:pStyle w:val="Heading3"/>
        <w:numPr>
          <w:ilvl w:val="2"/>
          <w:numId w:val="92"/>
        </w:numPr>
        <w:rPr>
          <w:color w:val="4472C4" w:themeColor="accent1"/>
        </w:rPr>
      </w:pPr>
      <w:bookmarkStart w:id="45" w:name="_Toc168350314"/>
      <w:r w:rsidRPr="004E6DE3">
        <w:rPr>
          <w:color w:val="4472C4" w:themeColor="accent1"/>
        </w:rPr>
        <w:t>Using rates established by the CPR or the Fund-specific rules</w:t>
      </w:r>
      <w:bookmarkEnd w:id="45"/>
    </w:p>
    <w:p w14:paraId="7F7B3B7A" w14:textId="648AB21E" w:rsidR="00981BA6" w:rsidRPr="00981BA6" w:rsidRDefault="00981BA6" w:rsidP="00981BA6">
      <w:r>
        <w:t xml:space="preserve">The CPR and the Fund-specific regulations specify </w:t>
      </w:r>
      <w:r w:rsidR="00531351">
        <w:t>several</w:t>
      </w:r>
      <w:r>
        <w:t xml:space="preserve"> specific simplified cost options, so-called ‘off-the-shelf’ simplified cost options. The flat rates set out in Articles 54 to 56 CPR are discussed above, in section</w:t>
      </w:r>
      <w:r w:rsidR="003E1737">
        <w:t xml:space="preserve"> 2.2.</w:t>
      </w:r>
      <w:r>
        <w:t xml:space="preserve"> The intention is to give legal certainty and to reduce the initial workload or the need for available data to establish a flat rate system because there is no requirement to perform a calculation to determine the applicable rates. However, such methods are not suited to all types of operations. </w:t>
      </w:r>
    </w:p>
    <w:p w14:paraId="35A5A697" w14:textId="577E1501" w:rsidR="00981BA6" w:rsidRPr="00981BA6" w:rsidRDefault="290DECC9" w:rsidP="00981BA6">
      <w:r>
        <w:t xml:space="preserve">Simplified cost options </w:t>
      </w:r>
      <w:r>
        <w:t xml:space="preserve">established by a Commission decision approving a programme or a programme amendment as referred to in the first subparagraph of Article 94(3) CPR and Appendix 1 to Annexes V and VI CPR may constitute a ‘flat rate’ or a ‘specific method’ ‘established by or </w:t>
      </w:r>
      <w:proofErr w:type="gramStart"/>
      <w:r>
        <w:t>on the basis of</w:t>
      </w:r>
      <w:proofErr w:type="gramEnd"/>
      <w:r>
        <w:t xml:space="preserve"> this Regulation or the Fund-specific Regulations’ for the purposes of Article 53(3)(e) CPR</w:t>
      </w:r>
      <w:r w:rsidR="00F957BE">
        <w:t xml:space="preserve"> for the specific programme</w:t>
      </w:r>
      <w:r>
        <w:t xml:space="preserve">. However, </w:t>
      </w:r>
      <w:r w:rsidR="3693E5DF">
        <w:t>‘</w:t>
      </w:r>
      <w:r>
        <w:t>specific method</w:t>
      </w:r>
      <w:r w:rsidR="5753AE77">
        <w:t>’</w:t>
      </w:r>
      <w:r>
        <w:t xml:space="preserve"> can only be used insofar as it is designed to cover beneficiaries’ costs in an appropriate (or the same) type of operation, otherwise it would not constitute a reliable proxy to real costs. In addition, simplified cost options established </w:t>
      </w:r>
      <w:proofErr w:type="gramStart"/>
      <w:r>
        <w:t>on the basis of</w:t>
      </w:r>
      <w:proofErr w:type="gramEnd"/>
      <w:r>
        <w:t xml:space="preserve"> Article 94(3) CPR are programme-specific and cannot be used in the implementation of other programmes or in other </w:t>
      </w:r>
      <w:r>
        <w:t>Member States. They can be</w:t>
      </w:r>
      <w:r w:rsidR="270A18BC">
        <w:t>,</w:t>
      </w:r>
      <w:r>
        <w:t xml:space="preserve"> however</w:t>
      </w:r>
      <w:r w:rsidR="270A18BC">
        <w:t>,</w:t>
      </w:r>
      <w:r>
        <w:t xml:space="preserve"> used by programme authorities as an example to develop their programme-specific schemes that need to be submitted for approval </w:t>
      </w:r>
      <w:r>
        <w:t xml:space="preserve">by the Commission. </w:t>
      </w:r>
    </w:p>
    <w:p w14:paraId="7E42F7A9" w14:textId="02BED2E0" w:rsidR="00981BA6" w:rsidRPr="00981BA6" w:rsidRDefault="00981BA6" w:rsidP="00981BA6">
      <w:r w:rsidRPr="00981BA6">
        <w:t>Additional methods may be established by the Fund-specific Regulations</w:t>
      </w:r>
      <w:r w:rsidR="003E1737">
        <w:t xml:space="preserve"> (for reference, see the table in section 2.2.1.)</w:t>
      </w:r>
      <w:r w:rsidRPr="00981BA6">
        <w:t>.</w:t>
      </w:r>
    </w:p>
    <w:p w14:paraId="48F5A713" w14:textId="378F9EF1" w:rsidR="00981BA6" w:rsidRPr="00981BA6" w:rsidRDefault="11890133" w:rsidP="00981BA6">
      <w:r>
        <w:lastRenderedPageBreak/>
        <w:t>Third parties reimbursed by beneficiaries of an operation are not concerned by Articles 53 to</w:t>
      </w:r>
      <w:r w:rsidR="47535262">
        <w:t xml:space="preserve"> </w:t>
      </w:r>
      <w:r>
        <w:t>56 CPR. This means that there is no direct application of the provisions of the CPR or</w:t>
      </w:r>
      <w:r w:rsidR="048A3FED">
        <w:t xml:space="preserve"> </w:t>
      </w:r>
      <w:r>
        <w:t>Fund-specific Regulations (except where specifically referred to) to subsequent support from the beneficiaries to third parties.</w:t>
      </w:r>
      <w:r w:rsidR="671DBFD9">
        <w:t xml:space="preserve"> </w:t>
      </w:r>
      <w:r w:rsidR="5F6C9B75">
        <w:t>In case of Interreg’s Small Project Fund, i</w:t>
      </w:r>
      <w:r w:rsidR="671DBFD9">
        <w:t xml:space="preserve">t is possible </w:t>
      </w:r>
      <w:r w:rsidR="6B1841A8">
        <w:t xml:space="preserve">for </w:t>
      </w:r>
      <w:r w:rsidR="671DBFD9">
        <w:t xml:space="preserve">the beneficiary </w:t>
      </w:r>
      <w:r w:rsidR="6E1DCB3E">
        <w:t xml:space="preserve">redistributing the support to final </w:t>
      </w:r>
      <w:r w:rsidR="4FA915AD">
        <w:t xml:space="preserve">recipients </w:t>
      </w:r>
      <w:r w:rsidR="6E1DCB3E">
        <w:t>to</w:t>
      </w:r>
      <w:r w:rsidR="671DBFD9">
        <w:t xml:space="preserve"> set out a methodology for the application of SCOs taking inspiration from the CPR or Interreg rules on SCOs</w:t>
      </w:r>
      <w:r w:rsidR="4FA915AD">
        <w:t>.</w:t>
      </w:r>
    </w:p>
    <w:p w14:paraId="57543AB3" w14:textId="5E9FCFEE" w:rsidR="00461745" w:rsidRPr="004E6DE3" w:rsidRDefault="2CABE996" w:rsidP="00AF7387">
      <w:pPr>
        <w:pStyle w:val="Heading3"/>
        <w:numPr>
          <w:ilvl w:val="2"/>
          <w:numId w:val="92"/>
        </w:numPr>
        <w:jc w:val="both"/>
        <w:rPr>
          <w:color w:val="4472C4" w:themeColor="accent1"/>
        </w:rPr>
      </w:pPr>
      <w:bookmarkStart w:id="46" w:name="_Toc168350315"/>
      <w:r w:rsidRPr="30D7A848">
        <w:rPr>
          <w:color w:val="4472C4" w:themeColor="accent1"/>
        </w:rPr>
        <w:t>Re-use</w:t>
      </w:r>
      <w:r w:rsidRPr="30D7A848">
        <w:rPr>
          <w:color w:val="4472C4" w:themeColor="accent1"/>
        </w:rPr>
        <w:t>/recycle simplified cost options set up within the same Member State or from other Member States</w:t>
      </w:r>
      <w:bookmarkEnd w:id="46"/>
    </w:p>
    <w:p w14:paraId="0F9FC014" w14:textId="57524C0B" w:rsidR="007110AA" w:rsidRDefault="0CCEBABB">
      <w:pPr>
        <w:rPr>
          <w:lang w:val="en-IE"/>
        </w:rPr>
      </w:pPr>
      <w:r w:rsidRPr="30D7A848">
        <w:rPr>
          <w:lang w:val="en"/>
        </w:rPr>
        <w:t>Different simplified cost options methodologies can co-exist in a Member State, i.e., SCOs set</w:t>
      </w:r>
      <w:r w:rsidR="5029BFE6" w:rsidRPr="30D7A848">
        <w:rPr>
          <w:lang w:val="en"/>
        </w:rPr>
        <w:t xml:space="preserve"> </w:t>
      </w:r>
      <w:r w:rsidRPr="30D7A848">
        <w:rPr>
          <w:lang w:val="en"/>
        </w:rPr>
        <w:t xml:space="preserve">up in certain or all national/regional </w:t>
      </w:r>
      <w:proofErr w:type="spellStart"/>
      <w:r w:rsidRPr="30D7A848">
        <w:rPr>
          <w:lang w:val="en"/>
        </w:rPr>
        <w:t>programmes</w:t>
      </w:r>
      <w:proofErr w:type="spellEnd"/>
      <w:r w:rsidRPr="30D7A848">
        <w:rPr>
          <w:lang w:val="en"/>
        </w:rPr>
        <w:t xml:space="preserve"> at upper and/or lower level</w:t>
      </w:r>
      <w:r w:rsidR="27D92359" w:rsidRPr="30D7A848">
        <w:rPr>
          <w:lang w:val="en"/>
        </w:rPr>
        <w:t>. These methodologies can be of interest for managing authorities from other</w:t>
      </w:r>
      <w:r w:rsidRPr="30D7A848">
        <w:rPr>
          <w:lang w:val="en"/>
        </w:rPr>
        <w:t xml:space="preserve"> </w:t>
      </w:r>
      <w:proofErr w:type="spellStart"/>
      <w:r w:rsidR="27D92359" w:rsidRPr="30D7A848">
        <w:rPr>
          <w:lang w:val="en"/>
        </w:rPr>
        <w:t>programmes</w:t>
      </w:r>
      <w:proofErr w:type="spellEnd"/>
      <w:r w:rsidR="27D92359" w:rsidRPr="30D7A848">
        <w:rPr>
          <w:lang w:val="en"/>
        </w:rPr>
        <w:t xml:space="preserve"> or other Member States who wish to </w:t>
      </w:r>
      <w:r w:rsidR="0A59E7B9" w:rsidRPr="30D7A848">
        <w:rPr>
          <w:lang w:val="en"/>
        </w:rPr>
        <w:t>set up</w:t>
      </w:r>
      <w:r w:rsidR="27D92359" w:rsidRPr="30D7A848">
        <w:rPr>
          <w:lang w:val="en"/>
        </w:rPr>
        <w:t xml:space="preserve"> similar schemes. However, being </w:t>
      </w:r>
      <w:proofErr w:type="spellStart"/>
      <w:r w:rsidR="0CE6A6A2" w:rsidRPr="30D7A848">
        <w:rPr>
          <w:lang w:val="en"/>
        </w:rPr>
        <w:t>programme</w:t>
      </w:r>
      <w:proofErr w:type="spellEnd"/>
      <w:r w:rsidR="0CE6A6A2" w:rsidRPr="30D7A848">
        <w:rPr>
          <w:lang w:val="en"/>
        </w:rPr>
        <w:t>-specific</w:t>
      </w:r>
      <w:r w:rsidR="27D92359" w:rsidRPr="30D7A848">
        <w:rPr>
          <w:lang w:val="en"/>
        </w:rPr>
        <w:t xml:space="preserve">, these </w:t>
      </w:r>
      <w:r w:rsidR="48DB2CC8" w:rsidRPr="30D7A848">
        <w:rPr>
          <w:lang w:val="en"/>
        </w:rPr>
        <w:t>simplified cost options and their corresponding amounts/rates</w:t>
      </w:r>
      <w:r w:rsidR="0CE6A6A2" w:rsidRPr="30D7A848">
        <w:rPr>
          <w:lang w:val="en"/>
        </w:rPr>
        <w:t xml:space="preserve"> cannot be used by other </w:t>
      </w:r>
      <w:proofErr w:type="spellStart"/>
      <w:r w:rsidR="0CE6A6A2" w:rsidRPr="30D7A848">
        <w:rPr>
          <w:lang w:val="en"/>
        </w:rPr>
        <w:t>programmes</w:t>
      </w:r>
      <w:proofErr w:type="spellEnd"/>
      <w:r w:rsidR="0CE6A6A2" w:rsidRPr="30D7A848">
        <w:rPr>
          <w:lang w:val="en"/>
        </w:rPr>
        <w:t xml:space="preserve"> or </w:t>
      </w:r>
      <w:r w:rsidR="27D92359" w:rsidRPr="30D7A848">
        <w:rPr>
          <w:lang w:val="en"/>
        </w:rPr>
        <w:t>Member States</w:t>
      </w:r>
      <w:r w:rsidR="0CE6A6A2" w:rsidRPr="30D7A848">
        <w:rPr>
          <w:lang w:val="en"/>
        </w:rPr>
        <w:t xml:space="preserve"> as they are</w:t>
      </w:r>
      <w:r w:rsidR="1A4FFB74" w:rsidRPr="30D7A848">
        <w:rPr>
          <w:lang w:val="en"/>
        </w:rPr>
        <w:t>.</w:t>
      </w:r>
      <w:r w:rsidR="0CE6A6A2" w:rsidRPr="30D7A848">
        <w:rPr>
          <w:lang w:val="en"/>
        </w:rPr>
        <w:t xml:space="preserve"> </w:t>
      </w:r>
      <w:r w:rsidR="48DB2CC8">
        <w:t xml:space="preserve">Managing authorities </w:t>
      </w:r>
      <w:r w:rsidR="27D92359">
        <w:t>need to review the methodology</w:t>
      </w:r>
      <w:r w:rsidR="3ED9E9DD">
        <w:t xml:space="preserve"> and</w:t>
      </w:r>
      <w:r w:rsidR="27D92359">
        <w:t xml:space="preserve"> </w:t>
      </w:r>
      <w:r w:rsidR="3ED9E9DD">
        <w:t xml:space="preserve">adapt it, </w:t>
      </w:r>
      <w:r w:rsidR="7D5A3F43" w:rsidRPr="30D7A848">
        <w:rPr>
          <w:lang w:val="en"/>
        </w:rPr>
        <w:t>where needed</w:t>
      </w:r>
      <w:r w:rsidR="3ED9E9DD">
        <w:t xml:space="preserve">, to the specificities of their programme </w:t>
      </w:r>
      <w:r w:rsidR="27D92359">
        <w:t>(</w:t>
      </w:r>
      <w:r w:rsidR="3ED9E9DD">
        <w:t>type of activities,</w:t>
      </w:r>
      <w:r w:rsidR="27D92359">
        <w:t xml:space="preserve"> cat</w:t>
      </w:r>
      <w:r w:rsidR="3ED9E9DD">
        <w:t>e</w:t>
      </w:r>
      <w:r w:rsidR="27D92359">
        <w:t>gories of costs covered, etc.)</w:t>
      </w:r>
      <w:r w:rsidR="3ED9E9DD">
        <w:t xml:space="preserve">. Moreover, the data </w:t>
      </w:r>
      <w:r w:rsidR="3ED9E9DD">
        <w:t xml:space="preserve">sources, calculations and amounts </w:t>
      </w:r>
      <w:r w:rsidR="19E891C2">
        <w:t xml:space="preserve">also </w:t>
      </w:r>
      <w:r w:rsidR="3ED9E9DD">
        <w:t xml:space="preserve">need to be adapted to the programme to which the SCOs will be implemented.  </w:t>
      </w:r>
    </w:p>
    <w:p w14:paraId="2B971BF7" w14:textId="15D4836B" w:rsidR="00B11B4F" w:rsidRPr="00AF7387" w:rsidRDefault="00E55E04" w:rsidP="001A0F94">
      <w:r>
        <w:rPr>
          <w:rFonts w:eastAsiaTheme="majorEastAsia" w:cstheme="minorHAnsi"/>
          <w:b/>
          <w:bCs/>
          <w:noProof/>
          <w:color w:val="2F5496" w:themeColor="accent1" w:themeShade="BF"/>
          <w:shd w:val="clear" w:color="auto" w:fill="E6E6E6"/>
        </w:rPr>
        <w:drawing>
          <wp:anchor distT="0" distB="0" distL="114300" distR="114300" simplePos="0" relativeHeight="251723264" behindDoc="0" locked="0" layoutInCell="1" allowOverlap="1" wp14:anchorId="32392A37" wp14:editId="1504CEC5">
            <wp:simplePos x="0" y="0"/>
            <wp:positionH relativeFrom="margin">
              <wp:align>left</wp:align>
            </wp:positionH>
            <wp:positionV relativeFrom="paragraph">
              <wp:posOffset>15853</wp:posOffset>
            </wp:positionV>
            <wp:extent cx="390525" cy="390525"/>
            <wp:effectExtent l="0" t="0" r="9525" b="9525"/>
            <wp:wrapSquare wrapText="bothSides"/>
            <wp:docPr id="33" name="Graphic 33" descr="Thumbs up sign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Thumbs up sign outline"/>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90525" cy="390525"/>
                    </a:xfrm>
                    <a:prstGeom prst="rect">
                      <a:avLst/>
                    </a:prstGeom>
                  </pic:spPr>
                </pic:pic>
              </a:graphicData>
            </a:graphic>
            <wp14:sizeRelH relativeFrom="margin">
              <wp14:pctWidth>0</wp14:pctWidth>
            </wp14:sizeRelH>
            <wp14:sizeRelV relativeFrom="margin">
              <wp14:pctHeight>0</wp14:pctHeight>
            </wp14:sizeRelV>
          </wp:anchor>
        </w:drawing>
      </w:r>
      <w:r w:rsidR="039D000B">
        <w:t xml:space="preserve">These considerations stand for the development of </w:t>
      </w:r>
      <w:r w:rsidR="073892EE">
        <w:t>simplified cost options at both upper and lower levels.</w:t>
      </w:r>
      <w:r w:rsidR="3AFD1EFF">
        <w:t xml:space="preserve"> </w:t>
      </w:r>
      <w:r w:rsidR="737E2AA9">
        <w:t xml:space="preserve">Where </w:t>
      </w:r>
      <w:r w:rsidR="039D000B">
        <w:t xml:space="preserve">the new SCO </w:t>
      </w:r>
      <w:r w:rsidR="3CBBFFF5">
        <w:t xml:space="preserve">will be used </w:t>
      </w:r>
      <w:r w:rsidR="039D000B">
        <w:t xml:space="preserve">at the lower level, </w:t>
      </w:r>
      <w:r w:rsidR="478A62B9">
        <w:t xml:space="preserve">it is strongly recommended to </w:t>
      </w:r>
      <w:r w:rsidR="6B7DCBEB">
        <w:t xml:space="preserve">ask </w:t>
      </w:r>
      <w:r w:rsidR="039D000B">
        <w:t xml:space="preserve">the </w:t>
      </w:r>
      <w:r w:rsidR="073892EE">
        <w:t>audit authority</w:t>
      </w:r>
      <w:r w:rsidR="039D000B">
        <w:t xml:space="preserve"> </w:t>
      </w:r>
      <w:r w:rsidR="78B86EB5">
        <w:t>for</w:t>
      </w:r>
      <w:r w:rsidR="039D000B">
        <w:t xml:space="preserve"> their informal </w:t>
      </w:r>
      <w:r w:rsidR="316E7EE4">
        <w:t xml:space="preserve">ex ante </w:t>
      </w:r>
      <w:r w:rsidR="039D000B">
        <w:t>assessment.</w:t>
      </w:r>
    </w:p>
    <w:p w14:paraId="172F7641" w14:textId="150A9C11" w:rsidR="00461745" w:rsidRPr="004E6DE3" w:rsidRDefault="177B535F" w:rsidP="004E6DE3">
      <w:pPr>
        <w:pStyle w:val="Heading2"/>
        <w:numPr>
          <w:ilvl w:val="1"/>
          <w:numId w:val="92"/>
        </w:numPr>
        <w:jc w:val="both"/>
        <w:rPr>
          <w:b/>
          <w:bCs/>
          <w:color w:val="4472C4" w:themeColor="accent1"/>
        </w:rPr>
      </w:pPr>
      <w:bookmarkStart w:id="47" w:name="_Toc168350316"/>
      <w:r w:rsidRPr="30D7A848">
        <w:rPr>
          <w:b/>
          <w:bCs/>
          <w:color w:val="4472C4" w:themeColor="accent1"/>
        </w:rPr>
        <w:t xml:space="preserve">Procedural steps towards approval of a simplified cost option </w:t>
      </w:r>
      <w:r w:rsidR="239E890A" w:rsidRPr="30D7A848">
        <w:rPr>
          <w:b/>
          <w:bCs/>
          <w:color w:val="4472C4" w:themeColor="accent1"/>
        </w:rPr>
        <w:t>in the programme (‘upper level’)</w:t>
      </w:r>
      <w:bookmarkEnd w:id="47"/>
    </w:p>
    <w:p w14:paraId="040B1B62" w14:textId="01483DAB" w:rsidR="00A17F21" w:rsidRDefault="006148FA" w:rsidP="00A17F21">
      <w:r w:rsidRPr="006148FA">
        <w:t xml:space="preserve">According to Article 94(1) CPR, simplified cost options for the reimbursement of the Union </w:t>
      </w:r>
      <w:r w:rsidR="00A31F73" w:rsidRPr="006148FA">
        <w:t>contribution</w:t>
      </w:r>
      <w:r w:rsidR="00A31F73">
        <w:t xml:space="preserve"> to a programme </w:t>
      </w:r>
      <w:r w:rsidRPr="006148FA">
        <w:t xml:space="preserve">can be based on the amounts and rates </w:t>
      </w:r>
      <w:r w:rsidR="00A31F73">
        <w:t>set out</w:t>
      </w:r>
      <w:r w:rsidR="00A31F73" w:rsidRPr="006148FA">
        <w:t xml:space="preserve"> </w:t>
      </w:r>
      <w:r w:rsidR="00A31F73">
        <w:t>in</w:t>
      </w:r>
      <w:r w:rsidRPr="006148FA">
        <w:t xml:space="preserve"> a </w:t>
      </w:r>
      <w:r w:rsidR="00A31F73">
        <w:t xml:space="preserve">Commission </w:t>
      </w:r>
      <w:r w:rsidRPr="006148FA">
        <w:t>decision approving the programme or programme amendment</w:t>
      </w:r>
      <w:r w:rsidR="00B864B1">
        <w:t>. Member States can also use</w:t>
      </w:r>
      <w:r w:rsidRPr="006148FA">
        <w:t xml:space="preserve"> </w:t>
      </w:r>
      <w:r w:rsidR="00B864B1">
        <w:t xml:space="preserve">SCOs </w:t>
      </w:r>
      <w:r w:rsidRPr="006148FA">
        <w:t>set out in a delegated act adopted by the Commission</w:t>
      </w:r>
      <w:r w:rsidR="00B864B1">
        <w:t xml:space="preserve"> (</w:t>
      </w:r>
      <w:r w:rsidR="00A31F73">
        <w:t>see section 4.4.)</w:t>
      </w:r>
      <w:r w:rsidR="00A17F21" w:rsidRPr="00A17F21">
        <w:t xml:space="preserve"> </w:t>
      </w:r>
    </w:p>
    <w:p w14:paraId="750E50DD" w14:textId="55B1B1DA" w:rsidR="00162BD5" w:rsidRDefault="29251021" w:rsidP="00162BD5">
      <w:r>
        <w:t xml:space="preserve">According to Article 94(2) CPR, Member States need to submit to the Commission a proposal in accordance with the templates set out in Appendix 1 of Annexes V or VI CPR, as part of the programme submission or of a request for its amendment. Therefore, </w:t>
      </w:r>
      <w:r>
        <w:t>the procedure for approval or amendment of a programme applies.</w:t>
      </w:r>
    </w:p>
    <w:p w14:paraId="573EBC0A" w14:textId="1411FA20" w:rsidR="00A31F73" w:rsidRPr="0073711D" w:rsidRDefault="00CE440B" w:rsidP="30D7A848">
      <w:pPr>
        <w:ind w:left="851"/>
      </w:pPr>
      <w:r>
        <w:drawing>
          <wp:anchor distT="0" distB="0" distL="114300" distR="114300" simplePos="0" relativeHeight="251737600" behindDoc="0" locked="0" layoutInCell="1" allowOverlap="1" wp14:anchorId="23E070DC" wp14:editId="51CC942D">
            <wp:simplePos x="0" y="0"/>
            <wp:positionH relativeFrom="margin">
              <wp:posOffset>15875</wp:posOffset>
            </wp:positionH>
            <wp:positionV relativeFrom="paragraph">
              <wp:posOffset>948331</wp:posOffset>
            </wp:positionV>
            <wp:extent cx="390525" cy="390525"/>
            <wp:effectExtent l="0" t="0" r="9525" b="9525"/>
            <wp:wrapSquare wrapText="bothSides"/>
            <wp:docPr id="1797393988" name="Graphic 1797393988" descr="Thumbs up sign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39"/>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90525" cy="390525"/>
                    </a:xfrm>
                    <a:prstGeom prst="rect">
                      <a:avLst/>
                    </a:prstGeom>
                  </pic:spPr>
                </pic:pic>
              </a:graphicData>
            </a:graphic>
          </wp:anchor>
        </w:drawing>
      </w:r>
      <w:r w:rsidR="0140DAA5" w:rsidRPr="00CE440B">
        <w:t xml:space="preserve">Submission of Appendix 1 is needed if simplified cost options are applied at “upper level”, regardless the form of reimbursement between the managing authority and beneficiary </w:t>
      </w:r>
      <w:r w:rsidR="00A17F21" w:rsidRPr="00CE440B">
        <w:drawing>
          <wp:anchor distT="0" distB="0" distL="114300" distR="114300" simplePos="0" relativeHeight="251671040" behindDoc="0" locked="0" layoutInCell="1" allowOverlap="1" wp14:anchorId="66AAC9F1" wp14:editId="06E08046">
            <wp:simplePos x="0" y="0"/>
            <wp:positionH relativeFrom="margin">
              <wp:align>left</wp:align>
            </wp:positionH>
            <wp:positionV relativeFrom="paragraph">
              <wp:posOffset>23551</wp:posOffset>
            </wp:positionV>
            <wp:extent cx="406400" cy="406400"/>
            <wp:effectExtent l="0" t="0" r="0" b="0"/>
            <wp:wrapSquare wrapText="bothSides"/>
            <wp:docPr id="40" name="Graphic 40" descr="Magnifying glas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descr="Magnifying glass with solid fill"/>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406400" cy="406400"/>
                    </a:xfrm>
                    <a:prstGeom prst="rect">
                      <a:avLst/>
                    </a:prstGeom>
                  </pic:spPr>
                </pic:pic>
              </a:graphicData>
            </a:graphic>
            <wp14:sizeRelH relativeFrom="margin">
              <wp14:pctWidth>0</wp14:pctWidth>
            </wp14:sizeRelH>
            <wp14:sizeRelV relativeFrom="margin">
              <wp14:pctHeight>0</wp14:pctHeight>
            </wp14:sizeRelV>
          </wp:anchor>
        </w:drawing>
      </w:r>
      <w:r w:rsidR="29251021" w:rsidRPr="00A17F21">
        <w:t>Appendix 1 is not needed if simplified cost options are applied exclusively at beneficiary level in line with Article 53 CPR</w:t>
      </w:r>
      <w:r w:rsidR="32DD72AC">
        <w:t xml:space="preserve">. </w:t>
      </w:r>
      <w:r w:rsidR="32DD72AC" w:rsidRPr="00700DDD">
        <w:t xml:space="preserve"> </w:t>
      </w:r>
      <w:r w:rsidR="29251021" w:rsidRPr="00A17F21">
        <w:t xml:space="preserve">or </w:t>
      </w:r>
      <w:r w:rsidR="7F731F7C" w:rsidRPr="00A17F21">
        <w:t xml:space="preserve">for </w:t>
      </w:r>
      <w:r w:rsidR="29251021" w:rsidRPr="00A17F21">
        <w:t xml:space="preserve">simplified </w:t>
      </w:r>
      <w:r w:rsidR="29251021" w:rsidRPr="00A17F21">
        <w:t xml:space="preserve">cost options from a delegated act, as </w:t>
      </w:r>
      <w:r w:rsidR="29251021" w:rsidRPr="00A17F21">
        <w:t xml:space="preserve">their amounts and adjustment methods are defined by a delegated act in accordance with Article 94(4) CPR (see section </w:t>
      </w:r>
      <w:r w:rsidR="187C2CEE" w:rsidRPr="00A17F21">
        <w:t>4.4</w:t>
      </w:r>
      <w:r w:rsidR="29251021" w:rsidRPr="00A17F21">
        <w:t>.)</w:t>
      </w:r>
    </w:p>
    <w:p w14:paraId="63374A64" w14:textId="00FAC17C" w:rsidR="0073711D" w:rsidRDefault="5D919D97" w:rsidP="30D7A848">
      <w:r w:rsidRPr="00236607">
        <w:rPr>
          <w:b/>
          <w:bCs/>
          <w:color w:val="4472C4" w:themeColor="accent1"/>
        </w:rPr>
        <w:t>Informal exchanges with the Commission</w:t>
      </w:r>
      <w:r>
        <w:t xml:space="preserve"> prior to the submission of a programme or a request for amendment are recommended as they are accelerating the process of the formal approval procedure. </w:t>
      </w:r>
    </w:p>
    <w:p w14:paraId="6A247BC1" w14:textId="5C201B28" w:rsidR="00D21923" w:rsidRPr="00D21923" w:rsidRDefault="0073711D" w:rsidP="00D21923">
      <w:r>
        <w:rPr>
          <w:b/>
          <w:bCs/>
          <w:iCs/>
          <w:noProof/>
          <w:color w:val="4472C4" w:themeColor="accent1"/>
          <w:shd w:val="clear" w:color="auto" w:fill="E6E6E6"/>
        </w:rPr>
        <w:drawing>
          <wp:anchor distT="0" distB="0" distL="114300" distR="114300" simplePos="0" relativeHeight="251640320" behindDoc="0" locked="0" layoutInCell="1" allowOverlap="1" wp14:anchorId="41D7CC8C" wp14:editId="55EA1504">
            <wp:simplePos x="0" y="0"/>
            <wp:positionH relativeFrom="margin">
              <wp:posOffset>84455</wp:posOffset>
            </wp:positionH>
            <wp:positionV relativeFrom="paragraph">
              <wp:posOffset>902970</wp:posOffset>
            </wp:positionV>
            <wp:extent cx="400685" cy="400685"/>
            <wp:effectExtent l="0" t="0" r="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0685" cy="400685"/>
                    </a:xfrm>
                    <a:prstGeom prst="rect">
                      <a:avLst/>
                    </a:prstGeom>
                    <a:noFill/>
                  </pic:spPr>
                </pic:pic>
              </a:graphicData>
            </a:graphic>
            <wp14:sizeRelH relativeFrom="margin">
              <wp14:pctWidth>0</wp14:pctWidth>
            </wp14:sizeRelH>
            <wp14:sizeRelV relativeFrom="margin">
              <wp14:pctHeight>0</wp14:pctHeight>
            </wp14:sizeRelV>
          </wp:anchor>
        </w:drawing>
      </w:r>
      <w:r w:rsidR="6A09C40A" w:rsidRPr="00D21923">
        <w:t xml:space="preserve">When submitting Appendix 1 of Annexes V and VI CPR, the Member State </w:t>
      </w:r>
      <w:r w:rsidR="1FDED6EE">
        <w:t xml:space="preserve">or Interreg programme </w:t>
      </w:r>
      <w:r w:rsidR="6A09C40A" w:rsidRPr="00D21923">
        <w:t xml:space="preserve">will need to state the source of data used to calculate the simplified cost options providing detailed information on where produced, </w:t>
      </w:r>
      <w:proofErr w:type="gramStart"/>
      <w:r w:rsidR="6A09C40A" w:rsidRPr="00D21923">
        <w:t>collected</w:t>
      </w:r>
      <w:proofErr w:type="gramEnd"/>
      <w:r w:rsidR="6A09C40A" w:rsidRPr="00D21923">
        <w:t xml:space="preserve"> and recorded data come from, where they are stored, any cut-off dates as well as how they are validated. The audit authority assesses if the data used are reliable and relevant, as part of its audit assessment prior to the submission of Appendix 1 to Annexes V or VI CPR to the Commission.</w:t>
      </w:r>
    </w:p>
    <w:p w14:paraId="0790E682" w14:textId="359467FE" w:rsidR="00A17F21" w:rsidRDefault="006C102A" w:rsidP="00A17F21">
      <w:pPr>
        <w:ind w:left="851"/>
      </w:pPr>
      <w:r w:rsidRPr="006C102A">
        <w:t xml:space="preserve">The </w:t>
      </w:r>
      <w:r w:rsidRPr="00A17F21">
        <w:rPr>
          <w:b/>
          <w:bCs/>
          <w:color w:val="4472C4" w:themeColor="accent1"/>
        </w:rPr>
        <w:t>positive assessment by the audit authority</w:t>
      </w:r>
      <w:r w:rsidRPr="006C102A">
        <w:t xml:space="preserve"> of the proposals </w:t>
      </w:r>
      <w:r w:rsidR="00A17F21">
        <w:t>made</w:t>
      </w:r>
      <w:r w:rsidR="00A17F21" w:rsidRPr="006C102A">
        <w:t xml:space="preserve"> </w:t>
      </w:r>
      <w:r w:rsidRPr="006C102A">
        <w:t>by Member States is a pre-condition for submitting Appendix 1 to the Commission’s approval.</w:t>
      </w:r>
      <w:bookmarkStart w:id="48" w:name="_Hlk164455865"/>
    </w:p>
    <w:p w14:paraId="1F164F7D" w14:textId="4AE64B3F" w:rsidR="00083FD7" w:rsidRPr="00E64E0A" w:rsidRDefault="00083FD7" w:rsidP="00083FD7">
      <w:pPr>
        <w:rPr>
          <w:b/>
          <w:bCs/>
        </w:rPr>
      </w:pPr>
      <w:r>
        <w:t>T</w:t>
      </w:r>
      <w:r w:rsidRPr="00E64E0A">
        <w:t xml:space="preserve">he decision approving or amending the programme will set out the types of operations covered by the reimbursement based on simplified cost options included in Appendix 1, the definition and the amounts covered by those simplified cost options and the methods for adjustment of the amounts. </w:t>
      </w:r>
    </w:p>
    <w:p w14:paraId="4C4777AA" w14:textId="289E8FF5" w:rsidR="00083FD7" w:rsidRDefault="00083FD7" w:rsidP="00083FD7">
      <w:r>
        <w:t>Simplified cost options approved in a programme become mandatory and it is no longer possible that the Union contribution for the concerned types of operations is reimbursed in a different form (e.g., actually incurred costs).</w:t>
      </w:r>
    </w:p>
    <w:p w14:paraId="36FFB3D4" w14:textId="3FA20507" w:rsidR="00083FD7" w:rsidRPr="00347FF1" w:rsidRDefault="7C9D79C3" w:rsidP="00C7699B">
      <w:r>
        <w:t xml:space="preserve">For further instructions and examples on how to fill in Appendix </w:t>
      </w:r>
      <w:r w:rsidR="352B35D0">
        <w:t>1</w:t>
      </w:r>
      <w:r>
        <w:t xml:space="preserve">, see Annex </w:t>
      </w:r>
      <w:r w:rsidR="352B35D0">
        <w:t>2.</w:t>
      </w:r>
    </w:p>
    <w:p w14:paraId="5E4882A5" w14:textId="77A436E5" w:rsidR="00340F15" w:rsidRPr="004E6DE3" w:rsidRDefault="5A896FE9" w:rsidP="30D7A848">
      <w:pPr>
        <w:pStyle w:val="Heading2"/>
        <w:numPr>
          <w:ilvl w:val="1"/>
          <w:numId w:val="92"/>
        </w:numPr>
        <w:jc w:val="both"/>
        <w:rPr>
          <w:b/>
          <w:bCs/>
          <w:color w:val="4472C4" w:themeColor="accent1"/>
        </w:rPr>
      </w:pPr>
      <w:bookmarkStart w:id="49" w:name="_Toc168350317"/>
      <w:bookmarkEnd w:id="48"/>
      <w:r w:rsidRPr="30D7A848">
        <w:rPr>
          <w:b/>
          <w:bCs/>
          <w:color w:val="4472C4" w:themeColor="accent1"/>
        </w:rPr>
        <w:t>A</w:t>
      </w:r>
      <w:r w:rsidR="1D3EFB13" w:rsidRPr="30D7A848">
        <w:rPr>
          <w:b/>
          <w:bCs/>
          <w:color w:val="4472C4" w:themeColor="accent1"/>
        </w:rPr>
        <w:t>daptation of simplified cost options in time</w:t>
      </w:r>
      <w:r w:rsidR="78932B53" w:rsidRPr="30D7A848">
        <w:rPr>
          <w:b/>
          <w:bCs/>
          <w:color w:val="4472C4" w:themeColor="accent1"/>
        </w:rPr>
        <w:t xml:space="preserve"> (Adjustment Method)</w:t>
      </w:r>
      <w:bookmarkEnd w:id="49"/>
    </w:p>
    <w:p w14:paraId="29FD3C35" w14:textId="054CCCE3" w:rsidR="00074F5C" w:rsidRDefault="05F42546" w:rsidP="00D21923">
      <w:r>
        <w:t xml:space="preserve">The methodology setting out the simplified cost options </w:t>
      </w:r>
      <w:r w:rsidR="6A09C40A">
        <w:t>may include a description of an adjustment method for the simplified cost options amounts.</w:t>
      </w:r>
      <w:r w:rsidR="3E7896E6">
        <w:t xml:space="preserve"> </w:t>
      </w:r>
      <w:r w:rsidR="6A09C40A">
        <w:t xml:space="preserve">The adjustment of the amounts is not mandatory, but it is </w:t>
      </w:r>
      <w:r w:rsidR="662ACD98" w:rsidRPr="00C7699B">
        <w:rPr>
          <w:b/>
          <w:bCs/>
          <w:color w:val="4472C4" w:themeColor="accent1"/>
        </w:rPr>
        <w:t xml:space="preserve">strongly </w:t>
      </w:r>
      <w:r w:rsidR="6A09C40A" w:rsidRPr="00C7699B">
        <w:rPr>
          <w:b/>
          <w:bCs/>
          <w:color w:val="4472C4" w:themeColor="accent1"/>
        </w:rPr>
        <w:t>recommended</w:t>
      </w:r>
      <w:r w:rsidR="3E7896E6">
        <w:t xml:space="preserve">, especially for simplified cost options used over a longer period, </w:t>
      </w:r>
      <w:proofErr w:type="gramStart"/>
      <w:r w:rsidR="6A09C40A">
        <w:t>in order to</w:t>
      </w:r>
      <w:proofErr w:type="gramEnd"/>
      <w:r w:rsidR="6A09C40A">
        <w:t xml:space="preserve"> take account </w:t>
      </w:r>
      <w:r w:rsidR="289D3D2C">
        <w:t>inflation</w:t>
      </w:r>
      <w:r w:rsidR="6A09C40A">
        <w:t xml:space="preserve"> or economic changes (e.g.</w:t>
      </w:r>
      <w:r w:rsidR="66366281">
        <w:t>,</w:t>
      </w:r>
      <w:r w:rsidR="6A09C40A">
        <w:t xml:space="preserve"> in energy costs, levels of salaries, etc) and to ensure that the simplified cost option remains a </w:t>
      </w:r>
      <w:r w:rsidR="52AFD703">
        <w:t xml:space="preserve">reliable </w:t>
      </w:r>
      <w:r w:rsidR="6A09C40A">
        <w:t xml:space="preserve">proxy </w:t>
      </w:r>
      <w:r w:rsidR="2EF5D356">
        <w:t>of the</w:t>
      </w:r>
      <w:r w:rsidR="6A09C40A">
        <w:t xml:space="preserve"> real costs. </w:t>
      </w:r>
      <w:r w:rsidR="3E7896E6">
        <w:t>Moreover, if the adjustment method is included in the Appendix 1 of Annexes V and VI CPR, applying the adjustment is not considered as a modification of the simplified cost option methodology and does not require a programme amendment.</w:t>
      </w:r>
    </w:p>
    <w:p w14:paraId="341B16AF" w14:textId="01FCFD2D" w:rsidR="00CC142B" w:rsidRDefault="00CC142B" w:rsidP="00CC142B">
      <w:r>
        <w:t xml:space="preserve">The methodology setting out the simplified cost options should include sufficient details about the adjustment method foreseen (e.g., index used, timing and frequency of the adjustment, formula for adjustment, ...).  </w:t>
      </w:r>
    </w:p>
    <w:p w14:paraId="68D9529F" w14:textId="2412E4E5" w:rsidR="00D21923" w:rsidRDefault="00CC142B" w:rsidP="00D4076A">
      <w:pPr>
        <w:ind w:left="851"/>
      </w:pPr>
      <w:r>
        <w:rPr>
          <w:rFonts w:eastAsiaTheme="majorEastAsia" w:cstheme="minorHAnsi"/>
          <w:b/>
          <w:bCs/>
          <w:noProof/>
          <w:color w:val="2F5496" w:themeColor="accent1" w:themeShade="BF"/>
          <w:shd w:val="clear" w:color="auto" w:fill="E6E6E6"/>
        </w:rPr>
        <w:drawing>
          <wp:anchor distT="0" distB="0" distL="114300" distR="114300" simplePos="0" relativeHeight="251727360" behindDoc="0" locked="0" layoutInCell="1" allowOverlap="1" wp14:anchorId="07AFD479" wp14:editId="624D6810">
            <wp:simplePos x="0" y="0"/>
            <wp:positionH relativeFrom="margin">
              <wp:align>left</wp:align>
            </wp:positionH>
            <wp:positionV relativeFrom="paragraph">
              <wp:posOffset>2872</wp:posOffset>
            </wp:positionV>
            <wp:extent cx="390525" cy="390525"/>
            <wp:effectExtent l="0" t="0" r="9525" b="9525"/>
            <wp:wrapSquare wrapText="bothSides"/>
            <wp:docPr id="41" name="Graphic 41" descr="Thumbs up sign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Thumbs up sign outline"/>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90525" cy="390525"/>
                    </a:xfrm>
                    <a:prstGeom prst="rect">
                      <a:avLst/>
                    </a:prstGeom>
                  </pic:spPr>
                </pic:pic>
              </a:graphicData>
            </a:graphic>
            <wp14:sizeRelH relativeFrom="margin">
              <wp14:pctWidth>0</wp14:pctWidth>
            </wp14:sizeRelH>
            <wp14:sizeRelV relativeFrom="margin">
              <wp14:pctHeight>0</wp14:pctHeight>
            </wp14:sizeRelV>
          </wp:anchor>
        </w:drawing>
      </w:r>
      <w:r w:rsidR="6A09C40A">
        <w:t>A good practice is to link the adjustment with the index specific to the</w:t>
      </w:r>
      <w:r w:rsidR="6D3B6759">
        <w:t xml:space="preserve"> main</w:t>
      </w:r>
      <w:r w:rsidR="6A09C40A">
        <w:t xml:space="preserve"> cost categories covered by the simplified cost options, but the Member States are free to establish other adjustment methods, </w:t>
      </w:r>
      <w:r w:rsidR="55E2562A">
        <w:t>if</w:t>
      </w:r>
      <w:r w:rsidR="6A09C40A">
        <w:t xml:space="preserve"> they are documented and </w:t>
      </w:r>
      <w:r w:rsidR="6A4FEE3E">
        <w:t xml:space="preserve">duly </w:t>
      </w:r>
      <w:r w:rsidR="6A09C40A">
        <w:t xml:space="preserve">justified. </w:t>
      </w:r>
    </w:p>
    <w:p w14:paraId="595FA3CC" w14:textId="5B146549" w:rsidR="00CC142B" w:rsidRDefault="6A09C40A" w:rsidP="00CC142B">
      <w:r>
        <w:t>The managing authority</w:t>
      </w:r>
      <w:r w:rsidR="60AD4597">
        <w:t xml:space="preserve"> (or monitoring committee for Interreg programmes)</w:t>
      </w:r>
      <w:r>
        <w:t xml:space="preserve"> may decide to not include </w:t>
      </w:r>
      <w:r w:rsidR="4D266219">
        <w:t>an</w:t>
      </w:r>
      <w:r>
        <w:t xml:space="preserve"> adjustment method in the methodology if they consider that the simplified cost options will not need adjustment over the period of its application.</w:t>
      </w:r>
    </w:p>
    <w:p w14:paraId="164A5B25" w14:textId="37FD453F" w:rsidR="00340F15" w:rsidRPr="003D6433" w:rsidRDefault="00CC142B" w:rsidP="00AC6EA1">
      <w:pPr>
        <w:spacing w:before="0" w:after="200"/>
      </w:pPr>
      <w:r>
        <w:br w:type="page"/>
      </w:r>
    </w:p>
    <w:p w14:paraId="2401D114" w14:textId="497BC6CD" w:rsidR="00DF1038" w:rsidRPr="004E6DE3" w:rsidRDefault="00DF1038" w:rsidP="00B32403">
      <w:pPr>
        <w:pStyle w:val="Heading1"/>
        <w:rPr>
          <w:b/>
          <w:bCs/>
        </w:rPr>
      </w:pPr>
      <w:bookmarkStart w:id="50" w:name="_Toc168350318"/>
      <w:r w:rsidRPr="004E6DE3">
        <w:rPr>
          <w:b/>
          <w:bCs/>
        </w:rPr>
        <w:lastRenderedPageBreak/>
        <w:t>Chapter 4: Implementing simplified cost options</w:t>
      </w:r>
      <w:bookmarkEnd w:id="50"/>
      <w:r w:rsidRPr="004E6DE3">
        <w:rPr>
          <w:b/>
          <w:bCs/>
        </w:rPr>
        <w:t xml:space="preserve"> </w:t>
      </w:r>
    </w:p>
    <w:p w14:paraId="408469CD" w14:textId="1ABBABA4" w:rsidR="007E3D86" w:rsidRPr="004E6DE3" w:rsidRDefault="3732C4C1" w:rsidP="00B32403">
      <w:pPr>
        <w:pStyle w:val="Heading2"/>
        <w:rPr>
          <w:b/>
          <w:bCs/>
          <w:color w:val="4472C4" w:themeColor="accent1"/>
        </w:rPr>
      </w:pPr>
      <w:bookmarkStart w:id="51" w:name="_Toc168350319"/>
      <w:r w:rsidRPr="30D7A848">
        <w:rPr>
          <w:b/>
          <w:bCs/>
          <w:color w:val="4472C4" w:themeColor="accent1"/>
        </w:rPr>
        <w:t xml:space="preserve">4.1. </w:t>
      </w:r>
      <w:r w:rsidR="6BE41022">
        <w:tab/>
      </w:r>
      <w:r w:rsidRPr="30D7A848">
        <w:rPr>
          <w:b/>
          <w:bCs/>
          <w:color w:val="4472C4" w:themeColor="accent1"/>
        </w:rPr>
        <w:t>Currency used</w:t>
      </w:r>
      <w:r w:rsidR="51A8C633" w:rsidRPr="30D7A848">
        <w:rPr>
          <w:b/>
          <w:bCs/>
          <w:color w:val="4472C4" w:themeColor="accent1"/>
        </w:rPr>
        <w:t xml:space="preserve"> </w:t>
      </w:r>
      <w:r w:rsidR="59C9DF45" w:rsidRPr="30D7A848">
        <w:rPr>
          <w:b/>
          <w:bCs/>
          <w:color w:val="4472C4" w:themeColor="accent1"/>
        </w:rPr>
        <w:t>for SCOs</w:t>
      </w:r>
      <w:r w:rsidR="538B2D6F" w:rsidRPr="30D7A848">
        <w:rPr>
          <w:b/>
          <w:bCs/>
          <w:color w:val="4472C4" w:themeColor="accent1"/>
        </w:rPr>
        <w:t xml:space="preserve"> established at “upper level”</w:t>
      </w:r>
      <w:bookmarkEnd w:id="51"/>
    </w:p>
    <w:p w14:paraId="542BFB84" w14:textId="2759567B" w:rsidR="00E05527" w:rsidRDefault="535B7576" w:rsidP="00E64E0A">
      <w:r>
        <w:t xml:space="preserve">According to </w:t>
      </w:r>
      <w:r w:rsidR="7CE6B0E5">
        <w:t xml:space="preserve">Article 87 CPR all amounts set out in programmes, </w:t>
      </w:r>
      <w:proofErr w:type="gramStart"/>
      <w:r w:rsidR="7CE6B0E5">
        <w:t>reported</w:t>
      </w:r>
      <w:proofErr w:type="gramEnd"/>
      <w:r w:rsidR="7CE6B0E5">
        <w:t xml:space="preserve"> or declared to the Commission by Member States are required to be denominated in euro. </w:t>
      </w:r>
      <w:r>
        <w:t>T</w:t>
      </w:r>
      <w:r w:rsidR="48C5001B">
        <w:t>his</w:t>
      </w:r>
      <w:r>
        <w:t xml:space="preserve"> provision applies </w:t>
      </w:r>
      <w:r w:rsidR="48C5001B">
        <w:t xml:space="preserve">also </w:t>
      </w:r>
      <w:r>
        <w:t xml:space="preserve">to Appendix 1 of Annexes V or VI CPR as </w:t>
      </w:r>
      <w:r w:rsidR="48C5001B">
        <w:t xml:space="preserve">the appendix is </w:t>
      </w:r>
      <w:r>
        <w:t>part of the programme. In practice, t</w:t>
      </w:r>
      <w:r w:rsidR="7FC35DF7">
        <w:t>his means that:</w:t>
      </w:r>
    </w:p>
    <w:p w14:paraId="75D0BB38" w14:textId="5EDD7C59" w:rsidR="00E05527" w:rsidRDefault="00E64E0A" w:rsidP="00E05527">
      <w:pPr>
        <w:pStyle w:val="ListParagraph"/>
        <w:numPr>
          <w:ilvl w:val="0"/>
          <w:numId w:val="94"/>
        </w:numPr>
      </w:pPr>
      <w:r w:rsidRPr="00E64E0A">
        <w:t xml:space="preserve">the amounts of simplified cost options in Appendix 1 of Annexes V and VI CPR have to be set in </w:t>
      </w:r>
      <w:proofErr w:type="gramStart"/>
      <w:r w:rsidRPr="00E64E0A">
        <w:t>euro</w:t>
      </w:r>
      <w:r w:rsidR="00E05527">
        <w:t>;</w:t>
      </w:r>
      <w:proofErr w:type="gramEnd"/>
    </w:p>
    <w:p w14:paraId="5256E2AE" w14:textId="71F85E56" w:rsidR="00E05527" w:rsidRDefault="00E64E0A" w:rsidP="00E05527">
      <w:pPr>
        <w:pStyle w:val="ListParagraph"/>
        <w:numPr>
          <w:ilvl w:val="0"/>
          <w:numId w:val="94"/>
        </w:numPr>
      </w:pPr>
      <w:r w:rsidRPr="00E64E0A">
        <w:t xml:space="preserve"> </w:t>
      </w:r>
      <w:r w:rsidR="00E05527">
        <w:t>t</w:t>
      </w:r>
      <w:r w:rsidRPr="00E64E0A">
        <w:t xml:space="preserve">he decision approving the programme or the amendment to programme </w:t>
      </w:r>
      <w:r w:rsidR="00AC6EA1">
        <w:t>must</w:t>
      </w:r>
      <w:r w:rsidRPr="00E64E0A">
        <w:t xml:space="preserve"> include amounts set out in </w:t>
      </w:r>
      <w:proofErr w:type="gramStart"/>
      <w:r w:rsidRPr="00E64E0A">
        <w:t>euro</w:t>
      </w:r>
      <w:r w:rsidR="00E05527">
        <w:t>;</w:t>
      </w:r>
      <w:proofErr w:type="gramEnd"/>
    </w:p>
    <w:p w14:paraId="7E59BB49" w14:textId="25D5982F" w:rsidR="00E05527" w:rsidRDefault="00E05527" w:rsidP="00E05527">
      <w:pPr>
        <w:pStyle w:val="ListParagraph"/>
        <w:numPr>
          <w:ilvl w:val="0"/>
          <w:numId w:val="94"/>
        </w:numPr>
      </w:pPr>
      <w:r>
        <w:t>and</w:t>
      </w:r>
      <w:r w:rsidR="00E64E0A" w:rsidRPr="00E64E0A">
        <w:t xml:space="preserve"> the simplified cost option amounts to be included in payment applications are to be</w:t>
      </w:r>
      <w:r w:rsidR="00AC6EA1">
        <w:t xml:space="preserve"> denominated</w:t>
      </w:r>
      <w:r w:rsidR="00E64E0A" w:rsidRPr="00E64E0A">
        <w:t xml:space="preserve"> in euro</w:t>
      </w:r>
      <w:r w:rsidR="00AC6EA1">
        <w:t xml:space="preserve"> as well</w:t>
      </w:r>
      <w:r w:rsidR="00E64E0A" w:rsidRPr="00E64E0A">
        <w:t xml:space="preserve">. </w:t>
      </w:r>
    </w:p>
    <w:p w14:paraId="76A0622B" w14:textId="7FB0C5AF" w:rsidR="00E64E0A" w:rsidRPr="00E64E0A" w:rsidRDefault="00AC6EA1" w:rsidP="00E05527">
      <w:r>
        <w:rPr>
          <w:b/>
          <w:bCs/>
          <w:iCs/>
          <w:noProof/>
          <w:color w:val="4472C4" w:themeColor="accent1"/>
          <w:shd w:val="clear" w:color="auto" w:fill="E6E6E6"/>
        </w:rPr>
        <w:drawing>
          <wp:anchor distT="0" distB="0" distL="114300" distR="114300" simplePos="0" relativeHeight="251675136" behindDoc="0" locked="0" layoutInCell="1" allowOverlap="1" wp14:anchorId="3B9CBD97" wp14:editId="3D65E105">
            <wp:simplePos x="0" y="0"/>
            <wp:positionH relativeFrom="margin">
              <wp:align>left</wp:align>
            </wp:positionH>
            <wp:positionV relativeFrom="paragraph">
              <wp:posOffset>7012</wp:posOffset>
            </wp:positionV>
            <wp:extent cx="400685" cy="400685"/>
            <wp:effectExtent l="0" t="0" r="0" b="0"/>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0685" cy="400685"/>
                    </a:xfrm>
                    <a:prstGeom prst="rect">
                      <a:avLst/>
                    </a:prstGeom>
                    <a:noFill/>
                  </pic:spPr>
                </pic:pic>
              </a:graphicData>
            </a:graphic>
            <wp14:sizeRelH relativeFrom="margin">
              <wp14:pctWidth>0</wp14:pctWidth>
            </wp14:sizeRelH>
            <wp14:sizeRelV relativeFrom="margin">
              <wp14:pctHeight>0</wp14:pctHeight>
            </wp14:sizeRelV>
          </wp:anchor>
        </w:drawing>
      </w:r>
      <w:r w:rsidR="00E64E0A" w:rsidRPr="00E64E0A">
        <w:t>Irrespective of the result of the conversion at national level, the amount to be included in a payment application to the Commission cannot be different from the simplified cost option amount approved in the Commission decision.</w:t>
      </w:r>
    </w:p>
    <w:p w14:paraId="01E30BC1" w14:textId="443EF244" w:rsidR="00E64E0A" w:rsidRPr="00E64E0A" w:rsidRDefault="00CC142B" w:rsidP="00E64E0A">
      <w:r>
        <w:rPr>
          <w:rFonts w:eastAsiaTheme="majorEastAsia" w:cstheme="minorHAnsi"/>
          <w:b/>
          <w:bCs/>
          <w:noProof/>
          <w:color w:val="2F5496" w:themeColor="accent1" w:themeShade="BF"/>
          <w:shd w:val="clear" w:color="auto" w:fill="E6E6E6"/>
        </w:rPr>
        <w:drawing>
          <wp:anchor distT="0" distB="0" distL="114300" distR="114300" simplePos="0" relativeHeight="251731456" behindDoc="0" locked="0" layoutInCell="1" allowOverlap="1" wp14:anchorId="5FCBF9EF" wp14:editId="681CE5C7">
            <wp:simplePos x="0" y="0"/>
            <wp:positionH relativeFrom="margin">
              <wp:align>left</wp:align>
            </wp:positionH>
            <wp:positionV relativeFrom="paragraph">
              <wp:posOffset>539198</wp:posOffset>
            </wp:positionV>
            <wp:extent cx="390525" cy="390525"/>
            <wp:effectExtent l="0" t="0" r="9525" b="9525"/>
            <wp:wrapSquare wrapText="bothSides"/>
            <wp:docPr id="42" name="Graphic 42" descr="Thumbs up sign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Thumbs up sign outline"/>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90525" cy="390525"/>
                    </a:xfrm>
                    <a:prstGeom prst="rect">
                      <a:avLst/>
                    </a:prstGeom>
                  </pic:spPr>
                </pic:pic>
              </a:graphicData>
            </a:graphic>
            <wp14:sizeRelH relativeFrom="margin">
              <wp14:pctWidth>0</wp14:pctWidth>
            </wp14:sizeRelH>
            <wp14:sizeRelV relativeFrom="margin">
              <wp14:pctHeight>0</wp14:pctHeight>
            </wp14:sizeRelV>
          </wp:anchor>
        </w:drawing>
      </w:r>
      <w:r w:rsidR="00E64E0A" w:rsidRPr="00E64E0A">
        <w:t xml:space="preserve">In the case of Member States that have not adopted the euro as their currency, these requirements might increase the risk of </w:t>
      </w:r>
      <w:r w:rsidR="004B2205">
        <w:t>differences</w:t>
      </w:r>
      <w:r w:rsidR="00AC6EA1">
        <w:t xml:space="preserve"> in the amounts to be included in payment applications</w:t>
      </w:r>
      <w:r w:rsidR="004B2205">
        <w:t xml:space="preserve"> </w:t>
      </w:r>
      <w:r w:rsidR="00E64E0A" w:rsidRPr="00E64E0A">
        <w:t xml:space="preserve">because of fluctuations </w:t>
      </w:r>
      <w:r w:rsidR="00AC6EA1">
        <w:t xml:space="preserve">in the </w:t>
      </w:r>
      <w:r w:rsidR="00AC6EA1" w:rsidRPr="00E64E0A">
        <w:t>exchange rate</w:t>
      </w:r>
      <w:r w:rsidR="00AC6EA1">
        <w:t>s</w:t>
      </w:r>
      <w:r w:rsidR="00AC6EA1" w:rsidRPr="00E64E0A">
        <w:t xml:space="preserve"> </w:t>
      </w:r>
      <w:r w:rsidR="00E64E0A" w:rsidRPr="00E64E0A">
        <w:t xml:space="preserve">between the euro and the national currency. </w:t>
      </w:r>
    </w:p>
    <w:p w14:paraId="7E468F9A" w14:textId="64975677" w:rsidR="00E64E0A" w:rsidRPr="00E64E0A" w:rsidRDefault="00E64E0A" w:rsidP="003E7C59">
      <w:r w:rsidRPr="00E64E0A">
        <w:t xml:space="preserve">Member States can mitigate this situation </w:t>
      </w:r>
      <w:r w:rsidR="007F2F18" w:rsidRPr="007F2F18">
        <w:t xml:space="preserve">for example </w:t>
      </w:r>
      <w:r w:rsidRPr="00E64E0A">
        <w:t>by</w:t>
      </w:r>
      <w:r w:rsidR="00FC68F6">
        <w:t xml:space="preserve"> including in the </w:t>
      </w:r>
      <w:r w:rsidR="00FC68F6" w:rsidRPr="00E64E0A">
        <w:rPr>
          <w:lang w:val="en-IE"/>
        </w:rPr>
        <w:t xml:space="preserve">Appendix 1 </w:t>
      </w:r>
      <w:r w:rsidR="00FC68F6" w:rsidRPr="00AC6EA1">
        <w:rPr>
          <w:lang w:val="en-IE"/>
        </w:rPr>
        <w:t>of Annexes V and VI CPR</w:t>
      </w:r>
      <w:r w:rsidRPr="00E64E0A">
        <w:t xml:space="preserve">: </w:t>
      </w:r>
    </w:p>
    <w:p w14:paraId="73FFF264" w14:textId="309568CB" w:rsidR="00E64E0A" w:rsidRPr="00E64E0A" w:rsidRDefault="00E64E0A" w:rsidP="00CC142B">
      <w:pPr>
        <w:numPr>
          <w:ilvl w:val="0"/>
          <w:numId w:val="48"/>
        </w:numPr>
        <w:ind w:left="1418"/>
      </w:pPr>
      <w:r w:rsidRPr="00E64E0A">
        <w:rPr>
          <w:lang w:val="en-IE"/>
        </w:rPr>
        <w:t>a fixed exchange rate (e.g.</w:t>
      </w:r>
      <w:r w:rsidR="00AC6EA1">
        <w:rPr>
          <w:lang w:val="en-IE"/>
        </w:rPr>
        <w:t>,</w:t>
      </w:r>
      <w:r w:rsidRPr="00E64E0A">
        <w:rPr>
          <w:lang w:val="en-IE"/>
        </w:rPr>
        <w:t xml:space="preserve"> on the basis of </w:t>
      </w:r>
      <w:r w:rsidR="00FC68F6">
        <w:rPr>
          <w:lang w:val="en-IE"/>
        </w:rPr>
        <w:t>a</w:t>
      </w:r>
      <w:r w:rsidR="00FC68F6" w:rsidRPr="00E64E0A">
        <w:rPr>
          <w:lang w:val="en-IE"/>
        </w:rPr>
        <w:t xml:space="preserve"> </w:t>
      </w:r>
      <w:r w:rsidRPr="00E64E0A">
        <w:rPr>
          <w:lang w:val="en-IE"/>
        </w:rPr>
        <w:t>projection of the exchange rate</w:t>
      </w:r>
      <w:proofErr w:type="gramStart"/>
      <w:r w:rsidRPr="00E64E0A">
        <w:rPr>
          <w:lang w:val="en-IE"/>
        </w:rPr>
        <w:t>);</w:t>
      </w:r>
      <w:proofErr w:type="gramEnd"/>
    </w:p>
    <w:p w14:paraId="65C1B04A" w14:textId="77FE7BB7" w:rsidR="00E64E0A" w:rsidRPr="00E64E0A" w:rsidRDefault="00E64E0A" w:rsidP="00CC142B">
      <w:pPr>
        <w:numPr>
          <w:ilvl w:val="0"/>
          <w:numId w:val="47"/>
        </w:numPr>
        <w:ind w:left="1418"/>
      </w:pPr>
      <w:r w:rsidRPr="00E64E0A">
        <w:rPr>
          <w:lang w:val="en-IE"/>
        </w:rPr>
        <w:t>an adjustment method that prevents that the amounts reimbursed by the Commission in euro differ from the amounts reimbursed by the managing authorities to the beneficiaries (e.g.</w:t>
      </w:r>
      <w:r w:rsidR="00AC6EA1">
        <w:rPr>
          <w:lang w:val="en-IE"/>
        </w:rPr>
        <w:t>,</w:t>
      </w:r>
      <w:r w:rsidRPr="00E64E0A">
        <w:rPr>
          <w:lang w:val="en-IE"/>
        </w:rPr>
        <w:t xml:space="preserve"> adjustment </w:t>
      </w:r>
      <w:r w:rsidRPr="00E64E0A">
        <w:rPr>
          <w:lang w:val="en-IE"/>
        </w:rPr>
        <w:t xml:space="preserve">of the exchange rate used in Appendix </w:t>
      </w:r>
      <w:bookmarkStart w:id="52" w:name="_Hlk164460336"/>
      <w:r w:rsidRPr="00E64E0A">
        <w:rPr>
          <w:lang w:val="en-IE"/>
        </w:rPr>
        <w:t xml:space="preserve">1 </w:t>
      </w:r>
      <w:bookmarkEnd w:id="52"/>
      <w:r w:rsidRPr="00E64E0A">
        <w:rPr>
          <w:lang w:val="en-IE"/>
        </w:rPr>
        <w:t xml:space="preserve">in case of a pre-defined deviation – upwards or downwards – between the rate published on the </w:t>
      </w:r>
      <w:proofErr w:type="spellStart"/>
      <w:r w:rsidRPr="00E64E0A">
        <w:rPr>
          <w:lang w:val="en-IE"/>
        </w:rPr>
        <w:t>InforEuro</w:t>
      </w:r>
      <w:proofErr w:type="spellEnd"/>
      <w:r w:rsidRPr="00E64E0A">
        <w:rPr>
          <w:lang w:val="en-IE"/>
        </w:rPr>
        <w:t xml:space="preserve"> page over a certain </w:t>
      </w:r>
      <w:proofErr w:type="gramStart"/>
      <w:r w:rsidRPr="00E64E0A">
        <w:rPr>
          <w:lang w:val="en-IE"/>
        </w:rPr>
        <w:t>period of time</w:t>
      </w:r>
      <w:proofErr w:type="gramEnd"/>
      <w:r w:rsidRPr="00E64E0A">
        <w:rPr>
          <w:lang w:val="en-IE"/>
        </w:rPr>
        <w:t xml:space="preserve"> and the original exchange rate in Appendix </w:t>
      </w:r>
      <w:r w:rsidR="00AC6EA1" w:rsidRPr="00E64E0A">
        <w:rPr>
          <w:lang w:val="en-IE"/>
        </w:rPr>
        <w:t>1</w:t>
      </w:r>
      <w:r w:rsidRPr="00E64E0A">
        <w:rPr>
          <w:lang w:val="en-IE"/>
        </w:rPr>
        <w:t>).</w:t>
      </w:r>
    </w:p>
    <w:p w14:paraId="664794E0" w14:textId="3DC8C30E" w:rsidR="00343301" w:rsidRPr="004E6DE3" w:rsidRDefault="3A4AFE1B" w:rsidP="00C7699B">
      <w:pPr>
        <w:pStyle w:val="Heading2"/>
        <w:jc w:val="both"/>
        <w:rPr>
          <w:b/>
          <w:bCs/>
          <w:color w:val="4472C4" w:themeColor="accent1"/>
        </w:rPr>
      </w:pPr>
      <w:bookmarkStart w:id="53" w:name="_Toc168350320"/>
      <w:r w:rsidRPr="30D7A848">
        <w:rPr>
          <w:b/>
          <w:bCs/>
          <w:color w:val="4472C4" w:themeColor="accent1"/>
        </w:rPr>
        <w:t>4.2.</w:t>
      </w:r>
      <w:r w:rsidR="23CB8BA8" w:rsidRPr="30D7A848">
        <w:rPr>
          <w:b/>
          <w:bCs/>
          <w:color w:val="4472C4" w:themeColor="accent1"/>
        </w:rPr>
        <w:t xml:space="preserve"> </w:t>
      </w:r>
      <w:r w:rsidR="000C7746">
        <w:rPr>
          <w:b/>
          <w:bCs/>
          <w:color w:val="4472C4" w:themeColor="accent1"/>
        </w:rPr>
        <w:tab/>
      </w:r>
      <w:r w:rsidRPr="30D7A848">
        <w:rPr>
          <w:b/>
          <w:bCs/>
          <w:color w:val="4472C4" w:themeColor="accent1"/>
        </w:rPr>
        <w:t>Application in time of simplified cost options adopted in the programme</w:t>
      </w:r>
      <w:bookmarkEnd w:id="53"/>
    </w:p>
    <w:p w14:paraId="545A8960" w14:textId="64430B12" w:rsidR="00D21923" w:rsidRPr="00D21923" w:rsidRDefault="00D21923" w:rsidP="00D21923">
      <w:r w:rsidRPr="00D21923">
        <w:t xml:space="preserve">The Commission will start reimbursing </w:t>
      </w:r>
      <w:r w:rsidRPr="00D21923">
        <w:t>the Member State based on simplified cost options once the</w:t>
      </w:r>
      <w:r w:rsidR="00E26891">
        <w:t>se</w:t>
      </w:r>
      <w:r w:rsidRPr="00D21923">
        <w:t xml:space="preserve"> are approved in a programme through a </w:t>
      </w:r>
      <w:r w:rsidR="00FC68F6">
        <w:t xml:space="preserve">Commission </w:t>
      </w:r>
      <w:r w:rsidRPr="00D21923">
        <w:t xml:space="preserve">decision approving the programme or its amendment. Only as of that moment, the managing authority can include the agreed amounts in payment applications to the Commission. </w:t>
      </w:r>
    </w:p>
    <w:p w14:paraId="4D023084" w14:textId="70F84685" w:rsidR="00E26891" w:rsidRDefault="6A09C40A" w:rsidP="00D21923">
      <w:r>
        <w:t xml:space="preserve">However, it is possible that the programme already starts implementing simplified cost options at the level of the beneficiaries before approval by the Commission of the </w:t>
      </w:r>
      <w:r w:rsidR="1E607A92">
        <w:t>methodology</w:t>
      </w:r>
      <w:r>
        <w:t xml:space="preserve"> submitted in Appendix I of Annexes V and VI CPR. Until a decision in line with Article 94</w:t>
      </w:r>
      <w:r w:rsidR="1E607A92">
        <w:t>(3)</w:t>
      </w:r>
      <w:r>
        <w:t xml:space="preserve"> CPR is adopted, the managing authority may declare to the Commission the amounts corresponding to the costs reimbursed to the beneficiaries by the managing authority (“lower level”). This means that the managing authorities may include the expenditure of the simplified cost operations in column B of the payment application (Annex XXII</w:t>
      </w:r>
      <w:r w:rsidR="369B1FCB">
        <w:t>I</w:t>
      </w:r>
      <w:r>
        <w:t xml:space="preserve"> CPR) in line with Article 91(4)(c) CPR</w:t>
      </w:r>
      <w:r w:rsidR="3B4A4A05">
        <w:t xml:space="preserve"> (for more information on payment applications</w:t>
      </w:r>
      <w:r w:rsidR="1E607A92">
        <w:t>, see</w:t>
      </w:r>
      <w:r w:rsidR="3B4A4A05">
        <w:t xml:space="preserve"> section 4.3)</w:t>
      </w:r>
      <w:r>
        <w:t xml:space="preserve">. </w:t>
      </w:r>
      <w:r w:rsidR="657D1D6C">
        <w:t xml:space="preserve">However, the expenditure </w:t>
      </w:r>
      <w:r w:rsidR="1D39D875">
        <w:t xml:space="preserve">declared in column B should not be </w:t>
      </w:r>
      <w:r w:rsidR="0E6AA526">
        <w:t>included again in column C</w:t>
      </w:r>
      <w:r w:rsidR="5A2118B7">
        <w:t xml:space="preserve"> of the payment application</w:t>
      </w:r>
      <w:r w:rsidR="1E8C64FF">
        <w:t>.</w:t>
      </w:r>
    </w:p>
    <w:p w14:paraId="43147E90" w14:textId="5A9765E5" w:rsidR="00D21923" w:rsidRPr="00D21923" w:rsidRDefault="00C7699B" w:rsidP="30D7A848">
      <w:r>
        <w:rPr>
          <w:rFonts w:eastAsiaTheme="majorEastAsia" w:cstheme="minorHAnsi"/>
          <w:b/>
          <w:bCs/>
          <w:noProof/>
          <w:color w:val="2F5496" w:themeColor="accent1" w:themeShade="BF"/>
          <w:shd w:val="clear" w:color="auto" w:fill="E6E6E6"/>
        </w:rPr>
        <w:drawing>
          <wp:anchor distT="0" distB="0" distL="114300" distR="114300" simplePos="0" relativeHeight="251735552" behindDoc="0" locked="0" layoutInCell="1" allowOverlap="1" wp14:anchorId="684A33C3" wp14:editId="11A39085">
            <wp:simplePos x="0" y="0"/>
            <wp:positionH relativeFrom="margin">
              <wp:align>left</wp:align>
            </wp:positionH>
            <wp:positionV relativeFrom="paragraph">
              <wp:posOffset>11430</wp:posOffset>
            </wp:positionV>
            <wp:extent cx="390525" cy="390525"/>
            <wp:effectExtent l="0" t="0" r="9525" b="9525"/>
            <wp:wrapSquare wrapText="bothSides"/>
            <wp:docPr id="28" name="Graphic 28" descr="Thumbs up sign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Thumbs up sign outline"/>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90525" cy="390525"/>
                    </a:xfrm>
                    <a:prstGeom prst="rect">
                      <a:avLst/>
                    </a:prstGeom>
                  </pic:spPr>
                </pic:pic>
              </a:graphicData>
            </a:graphic>
            <wp14:sizeRelH relativeFrom="margin">
              <wp14:pctWidth>0</wp14:pctWidth>
            </wp14:sizeRelH>
            <wp14:sizeRelV relativeFrom="margin">
              <wp14:pctHeight>0</wp14:pctHeight>
            </wp14:sizeRelV>
          </wp:anchor>
        </w:drawing>
      </w:r>
      <w:r w:rsidR="6A09C40A" w:rsidRPr="00D21923">
        <w:t xml:space="preserve"> </w:t>
      </w:r>
      <w:r w:rsidR="0F5DECBF" w:rsidRPr="00D21923">
        <w:t xml:space="preserve">To the extent possible, </w:t>
      </w:r>
      <w:r w:rsidR="0F5DECBF">
        <w:t>to avoid any potential inconsistencies between the methodologies approved at the two levels</w:t>
      </w:r>
      <w:r w:rsidR="48CD4679">
        <w:t xml:space="preserve"> for the same simplified cost options, </w:t>
      </w:r>
      <w:r w:rsidR="025B2EF4">
        <w:t xml:space="preserve">Member States are recommended to obtain </w:t>
      </w:r>
      <w:r w:rsidR="3B0B5AF4">
        <w:t>t</w:t>
      </w:r>
      <w:r w:rsidR="30D7A848">
        <w:t>he Commission approval under Article 94 CPR</w:t>
      </w:r>
      <w:r w:rsidR="45227E46">
        <w:t xml:space="preserve"> before </w:t>
      </w:r>
      <w:r w:rsidR="30D7A848">
        <w:t xml:space="preserve">using the </w:t>
      </w:r>
      <w:r w:rsidR="14AC9890">
        <w:t>concerned SCOs</w:t>
      </w:r>
      <w:r w:rsidR="30D7A848">
        <w:t xml:space="preserve"> at “lower level”</w:t>
      </w:r>
      <w:r w:rsidR="16B4542A">
        <w:t>.</w:t>
      </w:r>
    </w:p>
    <w:p w14:paraId="3B9C969D" w14:textId="03C7DE2B" w:rsidR="00D21923" w:rsidRPr="00D21923" w:rsidRDefault="00D21923" w:rsidP="00D21923">
      <w:r w:rsidRPr="00D21923">
        <w:lastRenderedPageBreak/>
        <w:t xml:space="preserve">After the decision on the programme or its amendment is adopted, the Commission will start reimbursing the Union contribution to a programme </w:t>
      </w:r>
      <w:proofErr w:type="gramStart"/>
      <w:r w:rsidRPr="00D21923">
        <w:t>on the basis of</w:t>
      </w:r>
      <w:proofErr w:type="gramEnd"/>
      <w:r w:rsidRPr="00D21923">
        <w:t xml:space="preserve"> the simplified cost options herein. The managing authority will include these amounts in column C of the payment application (Annex XXIII to the CPR) in line with Article 91(4)(b) CPR</w:t>
      </w:r>
      <w:r w:rsidR="00FA0D68">
        <w:t xml:space="preserve"> (see also section 4.3.)</w:t>
      </w:r>
      <w:r w:rsidRPr="00D21923">
        <w:t>.</w:t>
      </w:r>
    </w:p>
    <w:p w14:paraId="69A13B15" w14:textId="42B722F5" w:rsidR="00D21923" w:rsidRPr="00D21923" w:rsidRDefault="00D21923" w:rsidP="00D21923">
      <w:r w:rsidRPr="00D21923">
        <w:t>The Commission decision approving a simplified cost option under Article 94 CPR has no impact on the eligibility of expenditure, i.e.</w:t>
      </w:r>
      <w:r w:rsidR="00FC68F6">
        <w:t>,</w:t>
      </w:r>
      <w:r w:rsidRPr="00D21923">
        <w:t xml:space="preserve"> no new expenditure will become eligible </w:t>
      </w:r>
      <w:proofErr w:type="gramStart"/>
      <w:r w:rsidRPr="00D21923">
        <w:t>as a result of</w:t>
      </w:r>
      <w:proofErr w:type="gramEnd"/>
      <w:r w:rsidRPr="00D21923">
        <w:t xml:space="preserve"> this decision. The rules on the eligibility of expenditure are set out in </w:t>
      </w:r>
      <w:r w:rsidR="00FA0D68">
        <w:t xml:space="preserve">national rules and in </w:t>
      </w:r>
      <w:r w:rsidRPr="00D21923">
        <w:t>Article 63</w:t>
      </w:r>
      <w:r w:rsidR="00FA0D68">
        <w:t xml:space="preserve"> </w:t>
      </w:r>
      <w:r w:rsidRPr="00D21923">
        <w:t xml:space="preserve">CPR. The Commission’s decision impacts only the mode of reimbursement between the Commission and the Member States. </w:t>
      </w:r>
    </w:p>
    <w:p w14:paraId="17281A75" w14:textId="764FF97D" w:rsidR="00B94A15" w:rsidRPr="00B94A15" w:rsidRDefault="666478E1" w:rsidP="30D7A848">
      <w:pPr>
        <w:pStyle w:val="Heading2"/>
        <w:jc w:val="both"/>
      </w:pPr>
      <w:bookmarkStart w:id="54" w:name="_Toc168350321"/>
      <w:r w:rsidRPr="30D7A848">
        <w:rPr>
          <w:b/>
          <w:bCs/>
          <w:color w:val="4472C4" w:themeColor="accent1"/>
        </w:rPr>
        <w:t>4.3.</w:t>
      </w:r>
      <w:r w:rsidR="779B23BA">
        <w:tab/>
      </w:r>
      <w:r w:rsidRPr="30D7A848">
        <w:rPr>
          <w:b/>
          <w:bCs/>
          <w:color w:val="4472C4" w:themeColor="accent1"/>
        </w:rPr>
        <w:t>How to declare simplified cost options in the payment applications</w:t>
      </w:r>
      <w:bookmarkStart w:id="55" w:name="_Ref163553075"/>
      <w:bookmarkEnd w:id="54"/>
    </w:p>
    <w:p w14:paraId="0592D9C7" w14:textId="1752F54B" w:rsidR="00B94A15" w:rsidRPr="00B94A15" w:rsidRDefault="7AE704AB" w:rsidP="30D7A848">
      <w:r>
        <w:t>A</w:t>
      </w:r>
      <w:r w:rsidR="666478E1">
        <w:t xml:space="preserve">rticle 91(3) CPR provides that the payment applications are to be submitted in accordance with Annex XXIII CPR, per priority (specific objective and type of action for AMIF, BMVI and ISF programmes) and, where applicable, by category of region. </w:t>
      </w:r>
      <w:r w:rsidR="3BAA3CBB">
        <w:t xml:space="preserve"> </w:t>
      </w:r>
    </w:p>
    <w:p w14:paraId="427C00B6" w14:textId="450B1579" w:rsidR="00B94A15" w:rsidRDefault="1D4577ED" w:rsidP="1B560810">
      <w:r>
        <w:t xml:space="preserve">The total eligible expenditure related to simplified cost options </w:t>
      </w:r>
      <w:r w:rsidR="0074E75D">
        <w:t xml:space="preserve">used at </w:t>
      </w:r>
      <w:r w:rsidR="0074E75D" w:rsidRPr="00C7699B">
        <w:rPr>
          <w:b/>
          <w:bCs/>
          <w:color w:val="4471C4"/>
        </w:rPr>
        <w:t>“upper level”</w:t>
      </w:r>
      <w:r>
        <w:t xml:space="preserve">- </w:t>
      </w:r>
      <w:r w:rsidR="00C7699B">
        <w:t>i.e.,</w:t>
      </w:r>
      <w:r w:rsidR="0EA8159C">
        <w:t xml:space="preserve"> amount of eligible expenditure in accordance with the decision referred to Article 94(2) CPR or the delegated act referred to in article 94(4) CPR - </w:t>
      </w:r>
      <w:r>
        <w:t xml:space="preserve">needs to be declared in </w:t>
      </w:r>
      <w:r w:rsidRPr="30D7A848">
        <w:rPr>
          <w:b/>
          <w:bCs/>
          <w:color w:val="4471C4"/>
        </w:rPr>
        <w:t>column C of Annex XXIII CPR.</w:t>
      </w:r>
      <w:r>
        <w:t xml:space="preserve"> This applies to simplified cost options included in the programme </w:t>
      </w:r>
      <w:proofErr w:type="gramStart"/>
      <w:r>
        <w:t>on the basis of</w:t>
      </w:r>
      <w:proofErr w:type="gramEnd"/>
      <w:r>
        <w:t xml:space="preserve"> Article 94(3) CPR or set out in the delegated act referred to in Article 94(4) CPR.</w:t>
      </w:r>
    </w:p>
    <w:p w14:paraId="24FDAD90" w14:textId="0A24340D" w:rsidR="00B61BA3" w:rsidRDefault="7F64034C" w:rsidP="00277440">
      <w:r>
        <w:t xml:space="preserve">The amounts of simplified cost options set by the Member State at </w:t>
      </w:r>
      <w:r w:rsidR="6863C888">
        <w:t>“</w:t>
      </w:r>
      <w:r w:rsidRPr="30D7A848">
        <w:rPr>
          <w:b/>
          <w:bCs/>
          <w:color w:val="4472C4" w:themeColor="accent1"/>
        </w:rPr>
        <w:t>lower level</w:t>
      </w:r>
      <w:r w:rsidR="06B0B820" w:rsidRPr="30D7A848">
        <w:rPr>
          <w:b/>
          <w:bCs/>
          <w:color w:val="4472C4" w:themeColor="accent1"/>
        </w:rPr>
        <w:t>”</w:t>
      </w:r>
      <w:r>
        <w:t xml:space="preserve"> for the reimbursement of the beneficiary by the Member States (</w:t>
      </w:r>
      <w:r w:rsidRPr="30D7A848">
        <w:rPr>
          <w:b/>
          <w:bCs/>
          <w:color w:val="4472C4" w:themeColor="accent1"/>
        </w:rPr>
        <w:t>which are not covered by SCOs</w:t>
      </w:r>
      <w:r w:rsidR="2E854986" w:rsidRPr="30D7A848">
        <w:rPr>
          <w:b/>
          <w:bCs/>
          <w:color w:val="4472C4" w:themeColor="accent1"/>
        </w:rPr>
        <w:t xml:space="preserve"> used at “upper level”</w:t>
      </w:r>
      <w:r>
        <w:t xml:space="preserve">) are to be included in </w:t>
      </w:r>
      <w:r w:rsidRPr="30D7A848">
        <w:rPr>
          <w:b/>
          <w:bCs/>
          <w:color w:val="4472C4" w:themeColor="accent1"/>
        </w:rPr>
        <w:t>column B</w:t>
      </w:r>
      <w:r>
        <w:t xml:space="preserve"> </w:t>
      </w:r>
      <w:r w:rsidRPr="30D7A848">
        <w:rPr>
          <w:b/>
          <w:bCs/>
          <w:color w:val="4472C4" w:themeColor="accent1"/>
        </w:rPr>
        <w:t>of Annex XXIII</w:t>
      </w:r>
      <w:r w:rsidR="00C7699B">
        <w:rPr>
          <w:b/>
          <w:bCs/>
          <w:color w:val="4472C4" w:themeColor="accent1"/>
        </w:rPr>
        <w:t xml:space="preserve"> CPR</w:t>
      </w:r>
      <w:r>
        <w:t>. According to Article 91(4)(c) CPR, for grants reimbursed in the form of SCOs, the amounts included in a payment application are the costs calculated on the applicable basis (i.e., the SCO).</w:t>
      </w:r>
    </w:p>
    <w:p w14:paraId="51D9EBC5" w14:textId="5D5E4B72" w:rsidR="00B94A15" w:rsidRPr="00B94A15" w:rsidRDefault="7EC589B7" w:rsidP="5F60E5CE">
      <w:r>
        <w:t>The amounts reimbursed to beneficiaries for the cases covered by Article 91(4)(b) CPR, i.e., reimbursement of the Union contribution in the form of a simplified cost options, reported in column C may not be included in column B to avoid double financing of the same expenditure.</w:t>
      </w:r>
      <w:r w:rsidR="7B96A991">
        <w:t xml:space="preserve"> There are differences in the way the SCOs are declared in the payment applications and accounts. </w:t>
      </w:r>
      <w:proofErr w:type="gramStart"/>
      <w:r w:rsidR="7B96A991">
        <w:t>In particular, in</w:t>
      </w:r>
      <w:proofErr w:type="gramEnd"/>
      <w:r w:rsidR="7B96A991">
        <w:t xml:space="preserve"> the accounts all the total amount of eligible expenditure declared for reimbursement is included in column A of the accounts (i.e., real costs, Financing Not Linked to Costs and all SCOs </w:t>
      </w:r>
      <w:r w:rsidR="00E9032F">
        <w:t>regardless of</w:t>
      </w:r>
      <w:r w:rsidR="7B96A991">
        <w:t xml:space="preserve"> whether they are subject to Article 94 or not).</w:t>
      </w:r>
    </w:p>
    <w:p w14:paraId="4058A043" w14:textId="4A40AFFA" w:rsidR="00B94A15" w:rsidRPr="00B94A15" w:rsidRDefault="00C7699B" w:rsidP="00B94A15">
      <w:r>
        <w:rPr>
          <w:b/>
          <w:bCs/>
          <w:iCs/>
          <w:noProof/>
          <w:color w:val="4472C4" w:themeColor="accent1"/>
          <w:shd w:val="clear" w:color="auto" w:fill="E6E6E6"/>
        </w:rPr>
        <w:lastRenderedPageBreak/>
        <w:drawing>
          <wp:anchor distT="0" distB="0" distL="114300" distR="114300" simplePos="0" relativeHeight="251741696" behindDoc="0" locked="0" layoutInCell="1" allowOverlap="1" wp14:anchorId="66F3973F" wp14:editId="2EABDC2B">
            <wp:simplePos x="0" y="0"/>
            <wp:positionH relativeFrom="margin">
              <wp:align>left</wp:align>
            </wp:positionH>
            <wp:positionV relativeFrom="paragraph">
              <wp:posOffset>950871</wp:posOffset>
            </wp:positionV>
            <wp:extent cx="400685" cy="40068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0685" cy="400685"/>
                    </a:xfrm>
                    <a:prstGeom prst="rect">
                      <a:avLst/>
                    </a:prstGeom>
                    <a:noFill/>
                  </pic:spPr>
                </pic:pic>
              </a:graphicData>
            </a:graphic>
            <wp14:sizeRelH relativeFrom="margin">
              <wp14:pctWidth>0</wp14:pctWidth>
            </wp14:sizeRelH>
            <wp14:sizeRelV relativeFrom="margin">
              <wp14:pctHeight>0</wp14:pctHeight>
            </wp14:sizeRelV>
          </wp:anchor>
        </w:drawing>
      </w:r>
      <w:r w:rsidR="2558AD6A" w:rsidDel="214DE9E1">
        <w:t>The amounts approved by the Commission decision are binding and</w:t>
      </w:r>
      <w:r w:rsidR="2558AD6A" w:rsidDel="79CF6DED">
        <w:t>,</w:t>
      </w:r>
      <w:r w:rsidR="2558AD6A" w:rsidDel="214DE9E1">
        <w:t xml:space="preserve"> thus</w:t>
      </w:r>
      <w:r w:rsidR="2558AD6A" w:rsidDel="79CF6DED">
        <w:t>,</w:t>
      </w:r>
      <w:r w:rsidR="2558AD6A" w:rsidDel="214DE9E1">
        <w:t xml:space="preserve"> the Member State </w:t>
      </w:r>
      <w:proofErr w:type="gramStart"/>
      <w:r w:rsidR="2558AD6A" w:rsidDel="214DE9E1">
        <w:t>has to</w:t>
      </w:r>
      <w:proofErr w:type="gramEnd"/>
      <w:r w:rsidR="2558AD6A" w:rsidDel="214DE9E1">
        <w:t xml:space="preserve"> declare to the Commission the amounts as approved, i.e.</w:t>
      </w:r>
      <w:r w:rsidR="2558AD6A" w:rsidDel="6BCCC22D">
        <w:t>,</w:t>
      </w:r>
      <w:r w:rsidR="2558AD6A" w:rsidDel="214DE9E1">
        <w:t xml:space="preserve"> it cannot include amounts in the payment applications that would be different than those in the decision approving the programme (or its amendment).</w:t>
      </w:r>
      <w:r w:rsidR="2558AD6A" w:rsidDel="5FBDD245">
        <w:t xml:space="preserve"> </w:t>
      </w:r>
      <w:r w:rsidR="2558AD6A" w:rsidDel="214DE9E1">
        <w:t>Any modifications of the amounts which are not covered by the adjustment method in the decision approving the programme (or its amendment) would require an amendment of the decision.</w:t>
      </w:r>
    </w:p>
    <w:p w14:paraId="23090561" w14:textId="7060BD07" w:rsidR="00B94A15" w:rsidRPr="00B94A15" w:rsidRDefault="05B5C88B" w:rsidP="00B94A15">
      <w:pPr>
        <w:rPr>
          <w:lang w:val="en-IE"/>
        </w:rPr>
      </w:pPr>
      <w:r>
        <w:t>According to Article 93(5) CPR, the support from the Funds to a priority in the payment of the balance of the final accounting year sh</w:t>
      </w:r>
      <w:r w:rsidR="008A58E8">
        <w:t>ould</w:t>
      </w:r>
      <w:r>
        <w:t xml:space="preserve"> not exceed any of the following amounts: </w:t>
      </w:r>
    </w:p>
    <w:p w14:paraId="2C202851" w14:textId="0CAE2CFB" w:rsidR="00B94A15" w:rsidRPr="00B94A15" w:rsidRDefault="779B23BA" w:rsidP="00B90900">
      <w:pPr>
        <w:numPr>
          <w:ilvl w:val="0"/>
          <w:numId w:val="52"/>
        </w:numPr>
        <w:ind w:left="1418"/>
        <w:rPr>
          <w:lang w:val="en-IE"/>
        </w:rPr>
      </w:pPr>
      <w:r>
        <w:t xml:space="preserve">the public contribution declared in payment </w:t>
      </w:r>
      <w:proofErr w:type="gramStart"/>
      <w:r>
        <w:t>applications</w:t>
      </w:r>
      <w:r w:rsidR="00C7699B">
        <w:t>;</w:t>
      </w:r>
      <w:proofErr w:type="gramEnd"/>
    </w:p>
    <w:p w14:paraId="68B7693D" w14:textId="6EBE728A" w:rsidR="00B94A15" w:rsidRPr="00B94A15" w:rsidRDefault="779B23BA" w:rsidP="00B90900">
      <w:pPr>
        <w:numPr>
          <w:ilvl w:val="0"/>
          <w:numId w:val="52"/>
        </w:numPr>
        <w:ind w:left="1418"/>
      </w:pPr>
      <w:r>
        <w:t xml:space="preserve">support from the Funds paid or to be paid to </w:t>
      </w:r>
      <w:proofErr w:type="gramStart"/>
      <w:r>
        <w:t>beneficiaries</w:t>
      </w:r>
      <w:r w:rsidR="00C7699B">
        <w:t>;</w:t>
      </w:r>
      <w:proofErr w:type="gramEnd"/>
    </w:p>
    <w:p w14:paraId="322CB028" w14:textId="0B0261BF" w:rsidR="00B94A15" w:rsidRPr="00B94A15" w:rsidRDefault="779B23BA" w:rsidP="00B90900">
      <w:pPr>
        <w:numPr>
          <w:ilvl w:val="0"/>
          <w:numId w:val="52"/>
        </w:numPr>
        <w:ind w:left="1418"/>
      </w:pPr>
      <w:r>
        <w:t xml:space="preserve">the amount requested by the Member State. </w:t>
      </w:r>
    </w:p>
    <w:p w14:paraId="0A5E86FB" w14:textId="443642A5" w:rsidR="00343301" w:rsidRPr="004E6DE3" w:rsidRDefault="3A4AFE1B" w:rsidP="30D7A848">
      <w:pPr>
        <w:pStyle w:val="Heading2"/>
        <w:jc w:val="both"/>
        <w:rPr>
          <w:b/>
          <w:bCs/>
          <w:color w:val="4472C4" w:themeColor="accent1"/>
        </w:rPr>
      </w:pPr>
      <w:bookmarkStart w:id="56" w:name="_Toc168350322"/>
      <w:r w:rsidRPr="30D7A848">
        <w:rPr>
          <w:b/>
          <w:bCs/>
          <w:color w:val="4472C4" w:themeColor="accent1"/>
        </w:rPr>
        <w:t>4.4.</w:t>
      </w:r>
      <w:r w:rsidR="222FE6C8" w:rsidRPr="30D7A848">
        <w:rPr>
          <w:b/>
          <w:bCs/>
          <w:color w:val="4472C4" w:themeColor="accent1"/>
        </w:rPr>
        <w:t xml:space="preserve"> </w:t>
      </w:r>
      <w:r w:rsidR="007E47CE">
        <w:rPr>
          <w:b/>
          <w:bCs/>
          <w:color w:val="4472C4" w:themeColor="accent1"/>
        </w:rPr>
        <w:tab/>
      </w:r>
      <w:r w:rsidRPr="30D7A848">
        <w:rPr>
          <w:b/>
          <w:bCs/>
          <w:color w:val="4472C4" w:themeColor="accent1"/>
        </w:rPr>
        <w:t>Use of simplified cost options set out in Commission delegated acts</w:t>
      </w:r>
      <w:bookmarkEnd w:id="55"/>
      <w:bookmarkEnd w:id="56"/>
      <w:r w:rsidRPr="30D7A848">
        <w:rPr>
          <w:b/>
          <w:bCs/>
          <w:color w:val="4472C4" w:themeColor="accent1"/>
        </w:rPr>
        <w:t xml:space="preserve"> </w:t>
      </w:r>
    </w:p>
    <w:p w14:paraId="2706998B" w14:textId="77777777" w:rsidR="00B04B20" w:rsidRPr="00D21923" w:rsidRDefault="00B04B20" w:rsidP="00B04B20">
      <w:r w:rsidRPr="00D21923">
        <w:t xml:space="preserve">According to Article 94(4) CPR, the Commission can adopt a delegated act defining at Union level unit costs, lump sums, flat rates, their </w:t>
      </w:r>
      <w:proofErr w:type="gramStart"/>
      <w:r w:rsidRPr="00D21923">
        <w:t>amounts</w:t>
      </w:r>
      <w:proofErr w:type="gramEnd"/>
      <w:r w:rsidRPr="00D21923">
        <w:t xml:space="preserve"> and adjustment methods in line with the calculation methods of Article 94(2) CPR.</w:t>
      </w:r>
    </w:p>
    <w:p w14:paraId="4F5CF663" w14:textId="0D4CD95A" w:rsidR="00465135" w:rsidRDefault="00B04B20" w:rsidP="00D21923">
      <w:r w:rsidRPr="00D21923">
        <w:t xml:space="preserve">After the adoption of the delegated act, Member States can request the reimbursement of the Union contribution to the programme by using amounts and rates set out in the act (and, if applicable, adjusted in line with the adjustment methods approved in the delegated act). It is important that in the implementation of the operation, the rules of the act are observed, </w:t>
      </w:r>
      <w:r w:rsidRPr="00D21923">
        <w:rPr>
          <w:i/>
          <w:iCs/>
        </w:rPr>
        <w:t xml:space="preserve">inter alia </w:t>
      </w:r>
      <w:r w:rsidRPr="00D21923">
        <w:t>on eligible activities and the audit trail. Managing authorities can submit their payment applications with the corresponding amount set out in the delegated act, without prior approval by the Commission.</w:t>
      </w:r>
    </w:p>
    <w:p w14:paraId="65DA932C" w14:textId="6A53DB1A" w:rsidR="00D21923" w:rsidRPr="00D21923" w:rsidRDefault="00465135" w:rsidP="004C03A7">
      <w:pPr>
        <w:spacing w:before="0" w:after="200"/>
      </w:pPr>
      <w:r>
        <w:br w:type="page"/>
      </w:r>
    </w:p>
    <w:p w14:paraId="0FDEE825" w14:textId="14A8F63F" w:rsidR="001013D4" w:rsidRPr="004E6DE3" w:rsidRDefault="00DF1038" w:rsidP="00B32403">
      <w:pPr>
        <w:pStyle w:val="Heading1"/>
        <w:rPr>
          <w:b/>
          <w:bCs/>
        </w:rPr>
      </w:pPr>
      <w:bookmarkStart w:id="57" w:name="_Toc168350323"/>
      <w:r w:rsidRPr="004E6DE3">
        <w:rPr>
          <w:b/>
          <w:bCs/>
        </w:rPr>
        <w:lastRenderedPageBreak/>
        <w:t>Chapter 5: Horizontal principles</w:t>
      </w:r>
      <w:bookmarkEnd w:id="57"/>
      <w:r w:rsidRPr="004E6DE3">
        <w:rPr>
          <w:b/>
          <w:bCs/>
        </w:rPr>
        <w:t xml:space="preserve"> </w:t>
      </w:r>
    </w:p>
    <w:p w14:paraId="6D056E7F" w14:textId="515D325E" w:rsidR="00CD67A6" w:rsidRPr="004E6DE3" w:rsidRDefault="00CD67A6" w:rsidP="00B32403">
      <w:pPr>
        <w:pStyle w:val="Heading2"/>
        <w:numPr>
          <w:ilvl w:val="1"/>
          <w:numId w:val="12"/>
        </w:numPr>
        <w:rPr>
          <w:b/>
          <w:bCs/>
          <w:color w:val="4472C4" w:themeColor="accent1"/>
        </w:rPr>
      </w:pPr>
      <w:bookmarkStart w:id="58" w:name="_Toc168350324"/>
      <w:r w:rsidRPr="004E6DE3">
        <w:rPr>
          <w:b/>
          <w:bCs/>
          <w:color w:val="4472C4" w:themeColor="accent1"/>
        </w:rPr>
        <w:t>Pub</w:t>
      </w:r>
      <w:r w:rsidR="003E1C37" w:rsidRPr="004E6DE3">
        <w:rPr>
          <w:b/>
          <w:bCs/>
          <w:color w:val="4472C4" w:themeColor="accent1"/>
        </w:rPr>
        <w:t>l</w:t>
      </w:r>
      <w:r w:rsidRPr="004E6DE3">
        <w:rPr>
          <w:b/>
          <w:bCs/>
          <w:color w:val="4472C4" w:themeColor="accent1"/>
        </w:rPr>
        <w:t>i</w:t>
      </w:r>
      <w:r w:rsidR="003E1C37" w:rsidRPr="004E6DE3">
        <w:rPr>
          <w:b/>
          <w:bCs/>
          <w:color w:val="4472C4" w:themeColor="accent1"/>
        </w:rPr>
        <w:t>c</w:t>
      </w:r>
      <w:r w:rsidRPr="004E6DE3">
        <w:rPr>
          <w:b/>
          <w:bCs/>
          <w:color w:val="4472C4" w:themeColor="accent1"/>
        </w:rPr>
        <w:t xml:space="preserve"> procurement and </w:t>
      </w:r>
      <w:r w:rsidR="007E6AD8" w:rsidRPr="004E6DE3">
        <w:rPr>
          <w:b/>
          <w:bCs/>
          <w:color w:val="4472C4" w:themeColor="accent1"/>
        </w:rPr>
        <w:t xml:space="preserve">the </w:t>
      </w:r>
      <w:r w:rsidR="003E1C37" w:rsidRPr="004E6DE3">
        <w:rPr>
          <w:b/>
          <w:bCs/>
          <w:color w:val="4472C4" w:themeColor="accent1"/>
        </w:rPr>
        <w:t>use of simplified cost options</w:t>
      </w:r>
      <w:bookmarkEnd w:id="58"/>
    </w:p>
    <w:p w14:paraId="430AA5E7" w14:textId="77777777" w:rsidR="00B809D0" w:rsidRPr="00B809D0" w:rsidRDefault="00B809D0" w:rsidP="00B809D0">
      <w:r w:rsidRPr="00B809D0">
        <w:t>Since the 2021-2027 programming period, simplified cost options can also be used in an operation or project forming part of an operation which is implemented by the beneficiary exclusively through public procurement.</w:t>
      </w:r>
    </w:p>
    <w:p w14:paraId="0A8B7247" w14:textId="77777777" w:rsidR="00B809D0" w:rsidRPr="00B809D0" w:rsidRDefault="00B809D0" w:rsidP="00B809D0">
      <w:r w:rsidRPr="00B809D0">
        <w:t>Operations subject to public procur</w:t>
      </w:r>
      <w:r w:rsidRPr="00B809D0">
        <w:rPr>
          <w:bCs/>
        </w:rPr>
        <w:t>ement contracts are considered by the Commission as being operations implemented through the award of public contracts in accordance with Directive 2009/81/EC, Directive 2014/</w:t>
      </w:r>
      <w:r w:rsidRPr="00B809D0">
        <w:rPr>
          <w:bCs/>
        </w:rPr>
        <w:t>24/</w:t>
      </w:r>
      <w:proofErr w:type="gramStart"/>
      <w:r w:rsidRPr="00B809D0">
        <w:rPr>
          <w:bCs/>
        </w:rPr>
        <w:t>EU</w:t>
      </w:r>
      <w:proofErr w:type="gramEnd"/>
      <w:r w:rsidRPr="00B809D0">
        <w:rPr>
          <w:bCs/>
        </w:rPr>
        <w:t xml:space="preserve"> and Directive 2014/25/EU, or through the award of public contracts below the thresholds of the same Directives.</w:t>
      </w:r>
      <w:r w:rsidRPr="00B809D0">
        <w:t xml:space="preserve"> </w:t>
      </w:r>
    </w:p>
    <w:p w14:paraId="22ABBBBA" w14:textId="1A8E35D0" w:rsidR="00B809D0" w:rsidRPr="00B809D0" w:rsidRDefault="3F1626B0" w:rsidP="00AF681D">
      <w:pPr>
        <w:ind w:left="851"/>
      </w:pPr>
      <w:r>
        <w:rPr>
          <w:noProof/>
        </w:rPr>
        <w:drawing>
          <wp:anchor distT="0" distB="0" distL="114300" distR="114300" simplePos="0" relativeHeight="251687424" behindDoc="0" locked="0" layoutInCell="1" allowOverlap="1" wp14:anchorId="4CA73323" wp14:editId="3F7F22AA">
            <wp:simplePos x="0" y="0"/>
            <wp:positionH relativeFrom="column">
              <wp:align>left</wp:align>
            </wp:positionH>
            <wp:positionV relativeFrom="paragraph">
              <wp:posOffset>74433</wp:posOffset>
            </wp:positionV>
            <wp:extent cx="400685" cy="400685"/>
            <wp:effectExtent l="0" t="0" r="0" b="0"/>
            <wp:wrapSquare wrapText="bothSides"/>
            <wp:docPr id="298071395" name="Picture 29807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75295"/>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00685" cy="400685"/>
                    </a:xfrm>
                    <a:prstGeom prst="rect">
                      <a:avLst/>
                    </a:prstGeom>
                  </pic:spPr>
                </pic:pic>
              </a:graphicData>
            </a:graphic>
            <wp14:sizeRelH relativeFrom="page">
              <wp14:pctWidth>0</wp14:pctWidth>
            </wp14:sizeRelH>
            <wp14:sizeRelV relativeFrom="page">
              <wp14:pctHeight>0</wp14:pctHeight>
            </wp14:sizeRelV>
          </wp:anchor>
        </w:drawing>
      </w:r>
      <w:r w:rsidRPr="00B809D0">
        <w:t>There is no exception from the mandatory use of simplified cost option for operations below EUR 200 000 that are exclusively implemented through public procurement.</w:t>
      </w:r>
      <w:r w:rsidR="7FB4FCF1">
        <w:t xml:space="preserve"> </w:t>
      </w:r>
      <w:r w:rsidR="60406A07">
        <w:t>T</w:t>
      </w:r>
      <w:r w:rsidRPr="00B809D0">
        <w:t xml:space="preserve">he managing authorities </w:t>
      </w:r>
      <w:r w:rsidR="7FB4FCF1">
        <w:t xml:space="preserve">(or monitoring committees for Interreg programmes) </w:t>
      </w:r>
      <w:r w:rsidRPr="00B809D0">
        <w:t>will have to ensure the compatibility between the rules on simplified cost options and the national rules on the award of public contracts</w:t>
      </w:r>
      <w:r w:rsidR="3DA2D2F5">
        <w:t>, and, if applicable, with EU public procurement rules (depending on the thresholds applicable)</w:t>
      </w:r>
      <w:r w:rsidRPr="00B809D0">
        <w:t>.</w:t>
      </w:r>
      <w:r w:rsidR="7FB4FCF1">
        <w:t xml:space="preserve"> </w:t>
      </w:r>
    </w:p>
    <w:p w14:paraId="077738D8" w14:textId="153B5E93" w:rsidR="00C54BFC" w:rsidRPr="00C54BFC" w:rsidRDefault="7D596D8A" w:rsidP="00C54BFC">
      <w:r>
        <w:t xml:space="preserve">The fact that an </w:t>
      </w:r>
      <w:r>
        <w:t xml:space="preserve">operation is fully procured or not should not have an impact on the calculation methods established in articles 53(3) and 94(2) CPR, which are the same for all types of operations, fully procured or not. The managing authorities should design a methodology based on sufficient reliable data and foresee adjustment methods which would ensure that the amounts of simplified cost options remain a proxy to real costs during the implementation of the operations. Adjusting the amount of simplified cost options with the prices resulting from a new public procurement is not allowed as it would undermine the entire principle of simplified cost options. In addition, simplified cost options including any adjustment method need to be set </w:t>
      </w:r>
      <w:r w:rsidRPr="5F60E5CE">
        <w:rPr>
          <w:i/>
          <w:iCs/>
        </w:rPr>
        <w:t>ex ante</w:t>
      </w:r>
      <w:r>
        <w:t xml:space="preserve"> by the managing authorities and should be included in the document setting out the conditions for support. </w:t>
      </w:r>
    </w:p>
    <w:p w14:paraId="07DE2835" w14:textId="24A3090F" w:rsidR="003E1C37" w:rsidRPr="004E6DE3" w:rsidRDefault="003E1C37" w:rsidP="00B32403">
      <w:pPr>
        <w:pStyle w:val="Heading2"/>
        <w:numPr>
          <w:ilvl w:val="1"/>
          <w:numId w:val="12"/>
        </w:numPr>
        <w:rPr>
          <w:b/>
          <w:bCs/>
          <w:color w:val="4472C4" w:themeColor="accent1"/>
        </w:rPr>
      </w:pPr>
      <w:bookmarkStart w:id="59" w:name="_Toc168350325"/>
      <w:r w:rsidRPr="004E6DE3">
        <w:rPr>
          <w:b/>
          <w:bCs/>
          <w:color w:val="4472C4" w:themeColor="accent1"/>
        </w:rPr>
        <w:t>Compatibility of simplified cost options with State aid rules</w:t>
      </w:r>
      <w:bookmarkEnd w:id="59"/>
    </w:p>
    <w:p w14:paraId="7F2391FF" w14:textId="2E014FCC" w:rsidR="00CA7C6A" w:rsidRPr="00CA7C6A" w:rsidRDefault="35CD2E68" w:rsidP="00CA7C6A">
      <w:r>
        <w:t xml:space="preserve">It should be emphasised that the State aid rules laid down in the Treaty are of general application.  </w:t>
      </w:r>
      <w:r w:rsidR="42E3463B">
        <w:t>W</w:t>
      </w:r>
      <w:r>
        <w:t>henever funding constitutes State aid within the meaning of Article 107 TFEU, those rules must be complied with</w:t>
      </w:r>
      <w:proofErr w:type="gramStart"/>
      <w:r>
        <w:t xml:space="preserve">. </w:t>
      </w:r>
      <w:r w:rsidR="73C239C1">
        <w:t>.</w:t>
      </w:r>
      <w:proofErr w:type="gramEnd"/>
      <w:r w:rsidR="73C239C1">
        <w:t xml:space="preserve"> Managing authorities </w:t>
      </w:r>
      <w:r w:rsidR="142AB3D7">
        <w:t xml:space="preserve">(or monitoring committees for Interreg operations) </w:t>
      </w:r>
      <w:r w:rsidR="73C239C1">
        <w:t xml:space="preserve">must therefore ensure that the categories of costs for which simplified </w:t>
      </w:r>
      <w:r w:rsidR="73C239C1">
        <w:t xml:space="preserve">cost options are established, are eligible both under the CPR Funds rules and under State aid rules. They must also ensure that the maximum aid intensities set out in State aid rules and the incentive effect are respected. </w:t>
      </w:r>
      <w:r w:rsidR="0E0F2952">
        <w:t>I</w:t>
      </w:r>
      <w:r>
        <w:t xml:space="preserve">n case of </w:t>
      </w:r>
      <w:r w:rsidR="00296D65">
        <w:t xml:space="preserve">compensation for </w:t>
      </w:r>
      <w:r>
        <w:t>services of general economic interest</w:t>
      </w:r>
      <w:r w:rsidR="00296D65">
        <w:t>, which cons</w:t>
      </w:r>
      <w:r w:rsidR="002F06AC">
        <w:t>titutes state aid</w:t>
      </w:r>
      <w:r>
        <w:t xml:space="preserve">, the amount of compensation </w:t>
      </w:r>
      <w:proofErr w:type="gramStart"/>
      <w:r>
        <w:t>has to</w:t>
      </w:r>
      <w:proofErr w:type="gramEnd"/>
      <w:r>
        <w:t xml:space="preserve"> be respected.</w:t>
      </w:r>
    </w:p>
    <w:p w14:paraId="12A4DA2D" w14:textId="6A6B5B54" w:rsidR="00CA7C6A" w:rsidRPr="00CA7C6A" w:rsidRDefault="4C4159D0" w:rsidP="4E6B9547">
      <w:pPr>
        <w:rPr>
          <w:rFonts w:ascii="Calibri" w:eastAsia="Calibri" w:hAnsi="Calibri" w:cs="Calibri"/>
        </w:rPr>
      </w:pPr>
      <w:r w:rsidRPr="00CA7C6A">
        <w:t xml:space="preserve">Block </w:t>
      </w:r>
      <w:r w:rsidRPr="00CA7C6A">
        <w:t xml:space="preserve">exemption regulations, </w:t>
      </w:r>
      <w:r w:rsidR="00C7699B" w:rsidRPr="00CA7C6A">
        <w:t>i.e.,</w:t>
      </w:r>
      <w:r w:rsidRPr="00CA7C6A">
        <w:t xml:space="preserve"> the General Block Exemption Regulation (EU) No 651/2014 (GBER) </w:t>
      </w:r>
      <w:r w:rsidR="00CA7C6A" w:rsidRPr="00CA7C6A">
        <w:rPr>
          <w:vertAlign w:val="superscript"/>
        </w:rPr>
        <w:footnoteReference w:id="18"/>
      </w:r>
      <w:r w:rsidRPr="00CA7C6A">
        <w:t xml:space="preserve"> and</w:t>
      </w:r>
      <w:r w:rsidR="0C5C172A">
        <w:t>, among others,</w:t>
      </w:r>
      <w:r w:rsidRPr="00CA7C6A">
        <w:t xml:space="preserve"> the Fisheries Block Exemption Regulation (EU) 2022/2473 (FBER)</w:t>
      </w:r>
      <w:r w:rsidR="00CA7C6A" w:rsidRPr="00CA7C6A">
        <w:rPr>
          <w:vertAlign w:val="superscript"/>
        </w:rPr>
        <w:footnoteReference w:id="19"/>
      </w:r>
      <w:r w:rsidRPr="00CA7C6A">
        <w:t xml:space="preserve"> provide for exemptions from the obligation of Member States to notify aid schemes and ad hoc aid fulfilling the conditions stipulated therein.</w:t>
      </w:r>
      <w:r w:rsidR="0AC8C7D9">
        <w:t xml:space="preserve"> </w:t>
      </w:r>
      <w:r w:rsidR="7518D7A0">
        <w:t>Similarly, t</w:t>
      </w:r>
      <w:r w:rsidR="0AC8C7D9">
        <w:t xml:space="preserve">he </w:t>
      </w:r>
      <w:r w:rsidR="1C1E0B30">
        <w:t>SGEI decision</w:t>
      </w:r>
      <w:r w:rsidR="00DB5082">
        <w:rPr>
          <w:rStyle w:val="FootnoteReference"/>
        </w:rPr>
        <w:footnoteReference w:id="20"/>
      </w:r>
      <w:r w:rsidR="1C1E0B30">
        <w:t xml:space="preserve"> </w:t>
      </w:r>
      <w:r w:rsidR="4B229845" w:rsidRPr="5124305C">
        <w:rPr>
          <w:rFonts w:ascii="Calibri" w:eastAsia="Calibri" w:hAnsi="Calibri" w:cs="Calibri"/>
        </w:rPr>
        <w:t>sets out the conditions under which State aid in the form of public service compensation granted to undertakings entrusted with the operation of services of general economic interest is exempt from the notification requirement.</w:t>
      </w:r>
      <w:r w:rsidR="0F7844E5" w:rsidRPr="5124305C">
        <w:rPr>
          <w:rFonts w:ascii="Calibri" w:eastAsia="Calibri" w:hAnsi="Calibri" w:cs="Calibri"/>
        </w:rPr>
        <w:t xml:space="preserve"> </w:t>
      </w:r>
      <w:r w:rsidR="1E40D3EC" w:rsidRPr="5124305C">
        <w:rPr>
          <w:rFonts w:ascii="Calibri" w:eastAsia="Calibri" w:hAnsi="Calibri" w:cs="Calibri"/>
        </w:rPr>
        <w:t xml:space="preserve">Other </w:t>
      </w:r>
      <w:r w:rsidR="1E40D3EC" w:rsidRPr="5124305C">
        <w:rPr>
          <w:rFonts w:ascii="Calibri" w:eastAsia="Calibri" w:hAnsi="Calibri" w:cs="Calibri"/>
        </w:rPr>
        <w:t>documents such as</w:t>
      </w:r>
      <w:r w:rsidR="1E56D3BA" w:rsidRPr="5124305C">
        <w:rPr>
          <w:rFonts w:ascii="Calibri" w:eastAsia="Calibri" w:hAnsi="Calibri" w:cs="Calibri"/>
        </w:rPr>
        <w:t xml:space="preserve"> sector-specific</w:t>
      </w:r>
      <w:r w:rsidR="1E40D3EC" w:rsidRPr="5124305C">
        <w:rPr>
          <w:rFonts w:ascii="Calibri" w:eastAsia="Calibri" w:hAnsi="Calibri" w:cs="Calibri"/>
        </w:rPr>
        <w:t xml:space="preserve"> </w:t>
      </w:r>
      <w:r w:rsidR="02F6918B" w:rsidRPr="5124305C">
        <w:rPr>
          <w:rFonts w:ascii="Calibri" w:eastAsia="Calibri" w:hAnsi="Calibri" w:cs="Calibri"/>
        </w:rPr>
        <w:t xml:space="preserve">Commission </w:t>
      </w:r>
      <w:r w:rsidR="1E40D3EC" w:rsidRPr="5124305C">
        <w:rPr>
          <w:rFonts w:ascii="Calibri" w:eastAsia="Calibri" w:hAnsi="Calibri" w:cs="Calibri"/>
        </w:rPr>
        <w:t>Guidelines</w:t>
      </w:r>
      <w:r w:rsidR="118EAFE3" w:rsidRPr="4AF773E3">
        <w:rPr>
          <w:rStyle w:val="FootnoteReference"/>
          <w:rFonts w:ascii="Calibri" w:eastAsia="Calibri" w:hAnsi="Calibri" w:cs="Calibri"/>
        </w:rPr>
        <w:footnoteReference w:id="21"/>
      </w:r>
      <w:r w:rsidR="692AB622" w:rsidRPr="5124305C">
        <w:rPr>
          <w:rFonts w:ascii="Calibri" w:eastAsia="Calibri" w:hAnsi="Calibri" w:cs="Calibri"/>
        </w:rPr>
        <w:t xml:space="preserve"> </w:t>
      </w:r>
      <w:r w:rsidR="44D7AB95" w:rsidRPr="5124305C">
        <w:rPr>
          <w:rFonts w:ascii="Calibri" w:eastAsia="Calibri" w:hAnsi="Calibri" w:cs="Calibri"/>
        </w:rPr>
        <w:lastRenderedPageBreak/>
        <w:t xml:space="preserve">should also be taken into consideration when devising </w:t>
      </w:r>
      <w:r w:rsidR="1A3113DA" w:rsidRPr="5124305C">
        <w:rPr>
          <w:rFonts w:ascii="Calibri" w:eastAsia="Calibri" w:hAnsi="Calibri" w:cs="Calibri"/>
        </w:rPr>
        <w:t xml:space="preserve">State aid </w:t>
      </w:r>
      <w:r w:rsidR="44D7AB95" w:rsidRPr="5124305C">
        <w:rPr>
          <w:rFonts w:ascii="Calibri" w:eastAsia="Calibri" w:hAnsi="Calibri" w:cs="Calibri"/>
        </w:rPr>
        <w:t xml:space="preserve">as they lay down the conditions for </w:t>
      </w:r>
      <w:r w:rsidR="5F50F0C9" w:rsidRPr="5124305C">
        <w:rPr>
          <w:rFonts w:ascii="Calibri" w:eastAsia="Calibri" w:hAnsi="Calibri" w:cs="Calibri"/>
        </w:rPr>
        <w:t xml:space="preserve">notified State </w:t>
      </w:r>
      <w:r w:rsidR="44D7AB95" w:rsidRPr="5124305C">
        <w:rPr>
          <w:rFonts w:ascii="Calibri" w:eastAsia="Calibri" w:hAnsi="Calibri" w:cs="Calibri"/>
        </w:rPr>
        <w:t xml:space="preserve">aid to be considered compatible with the </w:t>
      </w:r>
      <w:r w:rsidR="4082EB5E" w:rsidRPr="5124305C">
        <w:rPr>
          <w:rFonts w:ascii="Calibri" w:eastAsia="Calibri" w:hAnsi="Calibri" w:cs="Calibri"/>
        </w:rPr>
        <w:t>internal market.</w:t>
      </w:r>
    </w:p>
    <w:p w14:paraId="5952B19C" w14:textId="7C6D285D" w:rsidR="00CA7C6A" w:rsidRPr="00DE536C" w:rsidRDefault="73C239C1" w:rsidP="4E6B9547">
      <w:pPr>
        <w:rPr>
          <w:b/>
          <w:bCs/>
        </w:rPr>
      </w:pPr>
      <w:r w:rsidRPr="00CA7C6A">
        <w:t>However, not all support granted by public authorities is subject to State aid rules. First, it should be assessed whether the support granted to an operation is considered State aid within the meaning of Article107(1) TFEU. More information on the notion of State aid can be found in the</w:t>
      </w:r>
      <w:r w:rsidR="00C55967">
        <w:t xml:space="preserve"> Commission notice</w:t>
      </w:r>
      <w:r w:rsidRPr="00CA7C6A">
        <w:t xml:space="preserve"> </w:t>
      </w:r>
      <w:r w:rsidR="00A3154B">
        <w:t xml:space="preserve">on the notion of State </w:t>
      </w:r>
      <w:r w:rsidR="00907C2B">
        <w:t>a</w:t>
      </w:r>
      <w:r w:rsidR="00A3154B">
        <w:t>id</w:t>
      </w:r>
      <w:r w:rsidR="00CA7C6A" w:rsidRPr="00CA7C6A">
        <w:rPr>
          <w:vertAlign w:val="superscript"/>
        </w:rPr>
        <w:footnoteReference w:id="22"/>
      </w:r>
      <w:r w:rsidRPr="00CA7C6A">
        <w:t xml:space="preserve"> which clarifies the Commission's understanding of Article 107(1) of the Treaty, as interpreted by the Court of Justice of the European Union.</w:t>
      </w:r>
      <w:r w:rsidRPr="00CA7C6A">
        <w:rPr>
          <w:b/>
          <w:bCs/>
        </w:rPr>
        <w:t xml:space="preserve"> </w:t>
      </w:r>
      <w:r w:rsidRPr="00CA7C6A">
        <w:t>The provisions of the Regulations</w:t>
      </w:r>
      <w:r w:rsidR="00CA7C6A" w:rsidRPr="00CA7C6A">
        <w:rPr>
          <w:vertAlign w:val="superscript"/>
        </w:rPr>
        <w:footnoteReference w:id="23"/>
      </w:r>
      <w:r w:rsidRPr="00CA7C6A">
        <w:t xml:space="preserve"> on </w:t>
      </w:r>
      <w:r w:rsidRPr="7A56C7E6">
        <w:rPr>
          <w:i/>
          <w:iCs/>
        </w:rPr>
        <w:t>‘de minimis’</w:t>
      </w:r>
      <w:r w:rsidRPr="00CA7C6A">
        <w:t xml:space="preserve"> aid should also be </w:t>
      </w:r>
      <w:proofErr w:type="gramStart"/>
      <w:r w:rsidRPr="00CA7C6A">
        <w:t>taken into account</w:t>
      </w:r>
      <w:proofErr w:type="gramEnd"/>
      <w:r w:rsidRPr="00CA7C6A">
        <w:t xml:space="preserve">. Aid that constitutes </w:t>
      </w:r>
      <w:r w:rsidRPr="7A56C7E6">
        <w:rPr>
          <w:i/>
          <w:iCs/>
        </w:rPr>
        <w:t>‘de minimis’</w:t>
      </w:r>
      <w:r w:rsidRPr="00CA7C6A">
        <w:t xml:space="preserve"> aid does not constitute State aid within the meaning of Article 107 of the Treaty. Therefore, in case an operation funded by the CPR Funds falls within the scope of the relevant </w:t>
      </w:r>
      <w:r w:rsidRPr="7A56C7E6">
        <w:rPr>
          <w:i/>
          <w:iCs/>
        </w:rPr>
        <w:t>de minimis</w:t>
      </w:r>
      <w:r w:rsidRPr="00CA7C6A">
        <w:t xml:space="preserve"> Regulation, it means that the contribution by the CPR Funds does not constitute State aid. Therefore, in the case of </w:t>
      </w:r>
      <w:r w:rsidRPr="7A56C7E6">
        <w:rPr>
          <w:i/>
          <w:iCs/>
        </w:rPr>
        <w:t>de minimis</w:t>
      </w:r>
      <w:r w:rsidRPr="00CA7C6A">
        <w:t xml:space="preserve"> aid there is no need to assess compliance with State aid rules, only those relating to the CPR Funds and the conditions for considering the support as </w:t>
      </w:r>
      <w:r w:rsidRPr="7A56C7E6">
        <w:rPr>
          <w:i/>
          <w:iCs/>
        </w:rPr>
        <w:t>de minimis</w:t>
      </w:r>
      <w:r w:rsidRPr="00CA7C6A">
        <w:t xml:space="preserve"> aid. </w:t>
      </w:r>
    </w:p>
    <w:p w14:paraId="2C6E5678" w14:textId="6C287696" w:rsidR="650D8A3C" w:rsidRDefault="650D8A3C" w:rsidP="7A56C7E6">
      <w:r w:rsidRPr="7A56C7E6">
        <w:t xml:space="preserve">Please note that compensation for services of general economic interest (SGEI) may </w:t>
      </w:r>
      <w:r w:rsidR="2CA45B49" w:rsidRPr="7A56C7E6">
        <w:t xml:space="preserve">also </w:t>
      </w:r>
      <w:r w:rsidRPr="7A56C7E6">
        <w:t>not be State aid and thus may fall outside the scope of application of State aid rules. The Commission communication on rules to compensation granted for the provision of services of general economic interest</w:t>
      </w:r>
      <w:r>
        <w:rPr>
          <w:rStyle w:val="FootnoteReference"/>
        </w:rPr>
        <w:footnoteReference w:id="24"/>
      </w:r>
      <w:r w:rsidR="5907560C" w:rsidRPr="7A56C7E6">
        <w:t xml:space="preserve"> </w:t>
      </w:r>
      <w:r w:rsidRPr="7A56C7E6">
        <w:t>explains in which circumstances this occurs</w:t>
      </w:r>
      <w:r w:rsidR="7B439679" w:rsidRPr="7A56C7E6">
        <w:t>.</w:t>
      </w:r>
    </w:p>
    <w:p w14:paraId="0B5062E4" w14:textId="57B9B2C7" w:rsidR="00CA7C6A" w:rsidRDefault="00CA7C6A" w:rsidP="00CA7C6A">
      <w:pPr>
        <w:pStyle w:val="Style3"/>
      </w:pPr>
      <w:r>
        <w:t xml:space="preserve">General principles on the compatibility of simplified cost options with </w:t>
      </w:r>
      <w:r w:rsidR="0007742F">
        <w:t>State aid rules</w:t>
      </w:r>
      <w:r>
        <w:t xml:space="preserve"> for the reimbursement of grants provide</w:t>
      </w:r>
      <w:r w:rsidR="002623FD">
        <w:t>d</w:t>
      </w:r>
      <w:r>
        <w:t xml:space="preserve"> by Member States to the beneficiaries</w:t>
      </w:r>
    </w:p>
    <w:p w14:paraId="25EE8711" w14:textId="47B08A4D" w:rsidR="00CA7C6A" w:rsidRPr="00213870" w:rsidRDefault="41ED4E05" w:rsidP="00CA7C6A">
      <w:r>
        <w:t xml:space="preserve">When using simplified cost options, State aid and </w:t>
      </w:r>
      <w:r w:rsidRPr="0FC76D01">
        <w:rPr>
          <w:i/>
          <w:iCs/>
        </w:rPr>
        <w:t>de minimis rules</w:t>
      </w:r>
      <w:r>
        <w:t xml:space="preserve"> are to be considered at the stage of the methodology preparation as well as at the stage of selection of operations/implementation, depending on individual cases. </w:t>
      </w:r>
    </w:p>
    <w:p w14:paraId="4AC06088" w14:textId="61E765EC" w:rsidR="00CA7C6A" w:rsidRPr="00213870" w:rsidRDefault="41ED4E05" w:rsidP="00CA7C6A">
      <w:r>
        <w:t>To ensure compliance of CPR Funds operations with the GBER</w:t>
      </w:r>
      <w:r w:rsidR="2E531C3B">
        <w:t>, other Block Exemptions Regulations</w:t>
      </w:r>
      <w:r w:rsidR="757BB3B5">
        <w:t xml:space="preserve">, the </w:t>
      </w:r>
      <w:r>
        <w:t>SGEI</w:t>
      </w:r>
      <w:r w:rsidR="5B9E5F59">
        <w:t xml:space="preserve"> decision</w:t>
      </w:r>
      <w:r w:rsidR="6EBDB62F">
        <w:t xml:space="preserve"> and relevant Commission Guidelines</w:t>
      </w:r>
      <w:r>
        <w:t xml:space="preserve">, the following elements are to be considered: </w:t>
      </w:r>
    </w:p>
    <w:p w14:paraId="51441493" w14:textId="552F8C55" w:rsidR="00CA7C6A" w:rsidRPr="00A74D24" w:rsidRDefault="03F5DE09" w:rsidP="00CA7C6A">
      <w:pPr>
        <w:numPr>
          <w:ilvl w:val="0"/>
          <w:numId w:val="53"/>
        </w:numPr>
        <w:rPr>
          <w:b/>
          <w:bCs/>
        </w:rPr>
      </w:pPr>
      <w:r w:rsidRPr="5F60E5CE">
        <w:rPr>
          <w:b/>
          <w:bCs/>
          <w:color w:val="4471C4"/>
        </w:rPr>
        <w:t>Eligibility of costs covered by the SCOs with the GBER and the rules on the CPR Funds</w:t>
      </w:r>
      <w:r w:rsidRPr="5F60E5CE">
        <w:rPr>
          <w:b/>
          <w:bCs/>
        </w:rPr>
        <w:t xml:space="preserve"> </w:t>
      </w:r>
    </w:p>
    <w:p w14:paraId="3BD63D12" w14:textId="30742586" w:rsidR="00CA7C6A" w:rsidRPr="00A74D24" w:rsidRDefault="00CA7C6A" w:rsidP="00CA7C6A">
      <w:r>
        <w:t xml:space="preserve">First, when the managing authority wants to grant support that is considered to constitute State aid, the conditions for granting the aid should be </w:t>
      </w:r>
      <w:r w:rsidR="3922370C">
        <w:t>checked</w:t>
      </w:r>
      <w:r>
        <w:t xml:space="preserve"> according to the relevant category of aid/exemption provision under the GBER. </w:t>
      </w:r>
    </w:p>
    <w:p w14:paraId="24F1A412" w14:textId="6EF2E9E8" w:rsidR="00CA7C6A" w:rsidRPr="00A74D24" w:rsidRDefault="03F5DE09" w:rsidP="5F60E5CE">
      <w:pPr>
        <w:rPr>
          <w:b/>
          <w:bCs/>
          <w:color w:val="4471C4"/>
        </w:rPr>
      </w:pPr>
      <w:r>
        <w:t>Then, the managing authority should ensure that, in the framework of this category of aid</w:t>
      </w:r>
      <w:r w:rsidRPr="5F60E5CE">
        <w:rPr>
          <w:b/>
          <w:bCs/>
        </w:rPr>
        <w:t xml:space="preserve">, </w:t>
      </w:r>
      <w:r w:rsidRPr="5F60E5CE">
        <w:rPr>
          <w:b/>
          <w:bCs/>
          <w:color w:val="4471C4"/>
        </w:rPr>
        <w:t xml:space="preserve">the costs envisaged for an operation are eligible, both </w:t>
      </w:r>
      <w:proofErr w:type="gramStart"/>
      <w:r w:rsidRPr="5F60E5CE">
        <w:rPr>
          <w:b/>
          <w:bCs/>
          <w:color w:val="4471C4"/>
        </w:rPr>
        <w:t>on the basis of</w:t>
      </w:r>
      <w:proofErr w:type="gramEnd"/>
      <w:r w:rsidRPr="5F60E5CE">
        <w:rPr>
          <w:b/>
          <w:bCs/>
          <w:color w:val="4471C4"/>
        </w:rPr>
        <w:t xml:space="preserve"> the relevant exemption provisions under the GBER and the CPR Funds rules.</w:t>
      </w:r>
    </w:p>
    <w:p w14:paraId="653019C8" w14:textId="77777777" w:rsidR="00CA7C6A" w:rsidRPr="00A74D24" w:rsidRDefault="00CA7C6A" w:rsidP="00CA7C6A">
      <w:r w:rsidRPr="00A74D24">
        <w:t xml:space="preserve">In this respect, Article 7(1) of the GBER allows for eligible costs under the GBER to be calculated in accordance with the simplified cost options set out in the CPR, provided that the operation is at least partly financed through a Union fund that allows for the use of those simplified cost options and that the category of costs is eligible according to the exemption in the relevant GBER. </w:t>
      </w:r>
    </w:p>
    <w:p w14:paraId="015A064C" w14:textId="4A1D2C63" w:rsidR="00CA7C6A" w:rsidRPr="00384816" w:rsidRDefault="03F5DE09" w:rsidP="7A56C7E6">
      <w:pPr>
        <w:rPr>
          <w:b/>
          <w:bCs/>
        </w:rPr>
      </w:pPr>
      <w:r>
        <w:lastRenderedPageBreak/>
        <w:t xml:space="preserve">This means that where a simplified cost option has been established in accordance with the CPR or the Fund-specific regulations, this amount will as a rule be used for the purposes of the control of compliance with State aid rules, </w:t>
      </w:r>
      <w:r w:rsidRPr="5F60E5CE">
        <w:rPr>
          <w:b/>
          <w:bCs/>
          <w:color w:val="4471C4"/>
        </w:rPr>
        <w:t>provided that the category of costs as such is eligible under State aid rules and that the aid fulfils all conditions of the GBER</w:t>
      </w:r>
      <w:r w:rsidR="34484435" w:rsidRPr="5F60E5CE">
        <w:rPr>
          <w:b/>
          <w:bCs/>
          <w:color w:val="4471C4"/>
        </w:rPr>
        <w:t>.</w:t>
      </w:r>
    </w:p>
    <w:p w14:paraId="1978B7F5" w14:textId="532332F8" w:rsidR="7A56C7E6" w:rsidRDefault="03F5DE09" w:rsidP="7A56C7E6">
      <w:r>
        <w:t xml:space="preserve">Where simplified cost options are used, the categories of costs calculated </w:t>
      </w:r>
      <w:proofErr w:type="gramStart"/>
      <w:r>
        <w:t>on the basis of</w:t>
      </w:r>
      <w:proofErr w:type="gramEnd"/>
      <w:r>
        <w:t xml:space="preserve"> simplified cost options should be identified in the methodology used to arrive at the amount of simplified cost options. Where simplified cost options defined in the CPR or other fund specific rules are used, this should be ensured by the managing authority, when issuing calls for proposals for operations which may be subject to State aid rules, by stipulating the categories of costs which will be funded by the CPR Funds for that </w:t>
      </w:r>
      <w:proofErr w:type="gramStart"/>
      <w:r>
        <w:t>operation</w:t>
      </w:r>
      <w:proofErr w:type="gramEnd"/>
      <w:r>
        <w:t xml:space="preserve"> and which are also compliant with the GBER. It should be further stated in the document setting out the conditions for support for the operation which categories of costs are considered eligible for that operation.</w:t>
      </w:r>
    </w:p>
    <w:p w14:paraId="4C99AD25" w14:textId="0EEE02CA" w:rsidR="00384816" w:rsidRPr="00A74D24" w:rsidRDefault="5B4128B0" w:rsidP="00CA7C6A">
      <w:r>
        <w:t xml:space="preserve"> </w:t>
      </w:r>
      <w:r w:rsidR="0BD0A496">
        <w:t>M</w:t>
      </w:r>
      <w:r>
        <w:t xml:space="preserve">anaging authorities, when issuing calls for proposals for operations which may be subject to State aid rules, </w:t>
      </w:r>
      <w:proofErr w:type="gramStart"/>
      <w:r>
        <w:t>have to</w:t>
      </w:r>
      <w:proofErr w:type="gramEnd"/>
      <w:r>
        <w:t xml:space="preserve"> stipulate, for the aid applicants, the categories of costs which will be funded by the CPR Funds for that operation, allowing therefore to check their compliance with one of GBER provisions.</w:t>
      </w:r>
    </w:p>
    <w:p w14:paraId="4D162592" w14:textId="57D090F2" w:rsidR="006C0F25" w:rsidRPr="00A74D24" w:rsidRDefault="48A67138" w:rsidP="5F60E5CE">
      <w:pPr>
        <w:numPr>
          <w:ilvl w:val="0"/>
          <w:numId w:val="53"/>
        </w:numPr>
        <w:rPr>
          <w:b/>
          <w:bCs/>
          <w:color w:val="4471C4"/>
        </w:rPr>
      </w:pPr>
      <w:r w:rsidRPr="5F60E5CE">
        <w:rPr>
          <w:b/>
          <w:bCs/>
          <w:color w:val="4471C4"/>
        </w:rPr>
        <w:t xml:space="preserve">Eligibility of costs covered by the SCOs with the </w:t>
      </w:r>
      <w:r w:rsidR="3134E7A0" w:rsidRPr="5F60E5CE">
        <w:rPr>
          <w:b/>
          <w:bCs/>
          <w:color w:val="4471C4"/>
        </w:rPr>
        <w:t>SGEI decision</w:t>
      </w:r>
      <w:r w:rsidRPr="5F60E5CE">
        <w:rPr>
          <w:b/>
          <w:bCs/>
          <w:color w:val="4471C4"/>
        </w:rPr>
        <w:t xml:space="preserve"> and the rules on the CPR Funds </w:t>
      </w:r>
    </w:p>
    <w:p w14:paraId="4C1E5C07" w14:textId="054A249B" w:rsidR="00DD0E3F" w:rsidRPr="00DD0E3F" w:rsidRDefault="00DD0E3F" w:rsidP="00DD0E3F">
      <w:pPr>
        <w:rPr>
          <w:lang w:val="en-IE"/>
        </w:rPr>
      </w:pPr>
      <w:r w:rsidRPr="7A56C7E6">
        <w:rPr>
          <w:lang w:val="en-IE"/>
        </w:rPr>
        <w:t xml:space="preserve">The operation should fall under the combined scope of both Article 2 of the Commission Decision of 20 December 2011 and the relevant provisions on the scope of support in the CPR and </w:t>
      </w:r>
      <w:r w:rsidR="00483E62" w:rsidRPr="7A56C7E6">
        <w:rPr>
          <w:lang w:val="en-IE"/>
        </w:rPr>
        <w:t>the</w:t>
      </w:r>
      <w:r w:rsidRPr="7A56C7E6">
        <w:rPr>
          <w:lang w:val="en-IE"/>
        </w:rPr>
        <w:t xml:space="preserve"> Fund-specific Regulations</w:t>
      </w:r>
      <w:r w:rsidR="00483E62" w:rsidRPr="7A56C7E6">
        <w:rPr>
          <w:lang w:val="en-IE"/>
        </w:rPr>
        <w:t>.</w:t>
      </w:r>
    </w:p>
    <w:p w14:paraId="47726F93" w14:textId="38D90ADC" w:rsidR="00375424" w:rsidRPr="00375424" w:rsidRDefault="33D4AEAF" w:rsidP="5F60E5CE">
      <w:pPr>
        <w:pStyle w:val="ListParagraph"/>
        <w:numPr>
          <w:ilvl w:val="0"/>
          <w:numId w:val="53"/>
        </w:numPr>
        <w:rPr>
          <w:b/>
          <w:bCs/>
          <w:color w:val="4471C4"/>
        </w:rPr>
      </w:pPr>
      <w:r w:rsidRPr="5F60E5CE">
        <w:rPr>
          <w:b/>
          <w:bCs/>
          <w:color w:val="4471C4"/>
        </w:rPr>
        <w:t>Ensuring compliance with maximum aid intensity</w:t>
      </w:r>
      <w:r w:rsidR="2188A5AE" w:rsidRPr="5F60E5CE">
        <w:rPr>
          <w:b/>
          <w:bCs/>
          <w:color w:val="4471C4"/>
        </w:rPr>
        <w:t xml:space="preserve"> under GBER </w:t>
      </w:r>
      <w:r w:rsidR="2C541653" w:rsidRPr="5F60E5CE">
        <w:rPr>
          <w:b/>
          <w:bCs/>
          <w:color w:val="4471C4"/>
        </w:rPr>
        <w:t>or</w:t>
      </w:r>
      <w:r w:rsidR="2188A5AE" w:rsidRPr="5F60E5CE">
        <w:rPr>
          <w:b/>
          <w:bCs/>
          <w:color w:val="4471C4"/>
        </w:rPr>
        <w:t xml:space="preserve"> </w:t>
      </w:r>
      <w:r w:rsidRPr="5F60E5CE">
        <w:rPr>
          <w:b/>
          <w:bCs/>
          <w:color w:val="4471C4"/>
        </w:rPr>
        <w:t xml:space="preserve">compensation </w:t>
      </w:r>
      <w:r w:rsidR="16D40215" w:rsidRPr="5F60E5CE">
        <w:rPr>
          <w:b/>
          <w:bCs/>
          <w:color w:val="4471C4"/>
        </w:rPr>
        <w:t>under SGEI decision</w:t>
      </w:r>
      <w:r w:rsidRPr="5F60E5CE">
        <w:rPr>
          <w:b/>
          <w:bCs/>
          <w:color w:val="4471C4"/>
        </w:rPr>
        <w:t xml:space="preserve"> </w:t>
      </w:r>
    </w:p>
    <w:p w14:paraId="0C2F36B8" w14:textId="56BCE96E" w:rsidR="00375424" w:rsidRPr="00375424" w:rsidRDefault="00375424" w:rsidP="00375424">
      <w:r>
        <w:t xml:space="preserve">Where a simplified cost option has been established in accordance with Articles 53 to 56 CPR or the relevant provisions in the Fund-specific regulations, this amount will be used for the purposes of the control of compliance with the State aid rules. </w:t>
      </w:r>
    </w:p>
    <w:p w14:paraId="0A52DBEE" w14:textId="40E74500" w:rsidR="00375424" w:rsidRPr="00375424" w:rsidRDefault="00EF72F8" w:rsidP="00375424">
      <w:r>
        <w:t>M</w:t>
      </w:r>
      <w:r w:rsidR="00375424">
        <w:t xml:space="preserve">anaging authorities must use a reasonable and prudent hypothesis </w:t>
      </w:r>
      <w:proofErr w:type="gramStart"/>
      <w:r w:rsidR="00375424">
        <w:t>in order to</w:t>
      </w:r>
      <w:proofErr w:type="gramEnd"/>
      <w:r w:rsidR="00375424">
        <w:t xml:space="preserve"> ensure that the amounts of simplified costs options represent a reliable proxy to real costs. This allows the amounts of simplified cost options to be used to facilitate demonstration of compliance with maximum aid intensity, maximum aid amounts or notification thresholds under the GBER or compensation level under </w:t>
      </w:r>
      <w:r w:rsidR="009F3C13">
        <w:t xml:space="preserve">the </w:t>
      </w:r>
      <w:r w:rsidR="00375424">
        <w:t>SGEI</w:t>
      </w:r>
      <w:r w:rsidR="009F3C13">
        <w:t xml:space="preserve"> </w:t>
      </w:r>
      <w:proofErr w:type="gramStart"/>
      <w:r w:rsidR="009F3C13">
        <w:t>decision</w:t>
      </w:r>
      <w:r w:rsidR="00375424">
        <w:t xml:space="preserve"> .</w:t>
      </w:r>
      <w:proofErr w:type="gramEnd"/>
      <w:r w:rsidR="00375424">
        <w:t xml:space="preserve"> The methodology will be subject to audit to ensure </w:t>
      </w:r>
      <w:r w:rsidR="00375424">
        <w:t xml:space="preserve">that it is in line with the applicable CPR Funds and State aid rules. </w:t>
      </w:r>
    </w:p>
    <w:p w14:paraId="27CBFDF2" w14:textId="3880866A" w:rsidR="00375424" w:rsidRPr="00375424" w:rsidRDefault="5967D13D" w:rsidP="00375424">
      <w:r>
        <w:t xml:space="preserve">For an example, please refer to Annex </w:t>
      </w:r>
      <w:r w:rsidR="759C3B49">
        <w:t>3</w:t>
      </w:r>
      <w:r>
        <w:t xml:space="preserve">. </w:t>
      </w:r>
    </w:p>
    <w:p w14:paraId="46FFA684" w14:textId="77777777" w:rsidR="00375424" w:rsidRPr="00EF72F8" w:rsidRDefault="56D4BAB1" w:rsidP="00EF72F8">
      <w:pPr>
        <w:pStyle w:val="ListParagraph"/>
        <w:numPr>
          <w:ilvl w:val="0"/>
          <w:numId w:val="53"/>
        </w:numPr>
        <w:rPr>
          <w:b/>
          <w:color w:val="4471C4"/>
        </w:rPr>
      </w:pPr>
      <w:bookmarkStart w:id="60" w:name="_Toc159236776"/>
      <w:r w:rsidRPr="00EF72F8">
        <w:rPr>
          <w:b/>
          <w:color w:val="4471C4"/>
        </w:rPr>
        <w:t>Ensuring respect of the incentive effect</w:t>
      </w:r>
      <w:bookmarkEnd w:id="60"/>
    </w:p>
    <w:p w14:paraId="15790574" w14:textId="009A7850" w:rsidR="00375424" w:rsidRDefault="3131896D" w:rsidP="00375424">
      <w:r>
        <w:t>Pursuant to its Article 6</w:t>
      </w:r>
      <w:r w:rsidR="08859066">
        <w:t>, the</w:t>
      </w:r>
      <w:r>
        <w:t xml:space="preserve"> GBER applies only to aid, which has an incentive effect. The aid is considered to have an incentive effect if the beneficiary has submitted a written application for the aid to the Member State concerned before work on the project or activity starts (for ad hoc aid to large undertakings also the additional conditions laid down in Article 6(3) GBER apply). </w:t>
      </w:r>
    </w:p>
    <w:p w14:paraId="2569E34E" w14:textId="1D27C7C6" w:rsidR="00375424" w:rsidRPr="00375424" w:rsidDel="00565A1D" w:rsidRDefault="00375424" w:rsidP="00AC0013">
      <w:pPr>
        <w:ind w:left="851" w:hanging="851"/>
      </w:pPr>
      <w:r>
        <w:rPr>
          <w:noProof/>
        </w:rPr>
        <w:drawing>
          <wp:anchor distT="0" distB="0" distL="114300" distR="114300" simplePos="0" relativeHeight="251632128" behindDoc="0" locked="0" layoutInCell="1" allowOverlap="1" wp14:anchorId="64D50778" wp14:editId="7CEB39DA">
            <wp:simplePos x="0" y="0"/>
            <wp:positionH relativeFrom="column">
              <wp:align>left</wp:align>
            </wp:positionH>
            <wp:positionV relativeFrom="paragraph">
              <wp:posOffset>6447</wp:posOffset>
            </wp:positionV>
            <wp:extent cx="400685" cy="400685"/>
            <wp:effectExtent l="0" t="0" r="0" b="0"/>
            <wp:wrapSquare wrapText="bothSides"/>
            <wp:docPr id="667452002" name="Picture 667452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00685" cy="400685"/>
                    </a:xfrm>
                    <a:prstGeom prst="rect">
                      <a:avLst/>
                    </a:prstGeom>
                  </pic:spPr>
                </pic:pic>
              </a:graphicData>
            </a:graphic>
            <wp14:sizeRelH relativeFrom="page">
              <wp14:pctWidth>0</wp14:pctWidth>
            </wp14:sizeRelH>
            <wp14:sizeRelV relativeFrom="page">
              <wp14:pctHeight>0</wp14:pctHeight>
            </wp14:sizeRelV>
          </wp:anchor>
        </w:drawing>
      </w:r>
      <w:r w:rsidRPr="00375424">
        <w:t xml:space="preserve">If support </w:t>
      </w:r>
      <w:r w:rsidR="00FA03DB">
        <w:t>constitute s</w:t>
      </w:r>
      <w:r w:rsidRPr="00375424">
        <w:t xml:space="preserve">tate aid, there </w:t>
      </w:r>
      <w:r w:rsidRPr="00375424">
        <w:t xml:space="preserve">is an obligation for managing authorities to ensure ex-ante if the incentive effect is respected, regardless of whether simplified cost options are used or not. </w:t>
      </w:r>
      <w:r w:rsidR="00AC0013" w:rsidDel="00375424">
        <w:t xml:space="preserve"> </w:t>
      </w:r>
      <w:r w:rsidR="00F765D7">
        <w:t>T</w:t>
      </w:r>
      <w:r>
        <w:t xml:space="preserve">he managing authorities </w:t>
      </w:r>
      <w:proofErr w:type="gramStart"/>
      <w:r>
        <w:t>have to</w:t>
      </w:r>
      <w:proofErr w:type="gramEnd"/>
      <w:r>
        <w:t xml:space="preserve"> ensure that the beneficiaries have not entered into any type of contractual arrangements showing the willingness to pursue operations even in the absence of aid. </w:t>
      </w:r>
      <w:r w:rsidR="00565A1D">
        <w:t xml:space="preserve">This </w:t>
      </w:r>
      <w:proofErr w:type="gramStart"/>
      <w:r w:rsidR="00565A1D" w:rsidRPr="7A56C7E6">
        <w:rPr>
          <w:i/>
          <w:iCs/>
        </w:rPr>
        <w:t>ex ante</w:t>
      </w:r>
      <w:proofErr w:type="gramEnd"/>
      <w:r w:rsidR="00565A1D">
        <w:t xml:space="preserve"> check could be done by requiring a self-declaration from the aid applicant that it had not entered into firm legal commitment (start of works) before the submission of his application. Self-declarations could be considered acceptable to demonstrate the incentive effect, provided there exists an effective system of control allowing random checks on these self-declarations.</w:t>
      </w:r>
    </w:p>
    <w:p w14:paraId="5C06F74B" w14:textId="18B94E7F" w:rsidR="00CA7C6A" w:rsidRDefault="00EA3C95" w:rsidP="00EA3C95">
      <w:pPr>
        <w:pStyle w:val="Style3"/>
      </w:pPr>
      <w:r w:rsidRPr="00EA3C95">
        <w:lastRenderedPageBreak/>
        <w:t xml:space="preserve">Specific provisions in the GBER and </w:t>
      </w:r>
      <w:r>
        <w:t xml:space="preserve">the use of </w:t>
      </w:r>
      <w:r w:rsidRPr="00EA3C95">
        <w:t>simplified cost options</w:t>
      </w:r>
    </w:p>
    <w:p w14:paraId="01787DA3" w14:textId="77777777" w:rsidR="00EA3C95" w:rsidRPr="00EA3C95" w:rsidRDefault="65D952DF" w:rsidP="00EA3C95">
      <w:r w:rsidRPr="00EA3C95">
        <w:t xml:space="preserve">Article 25(3)(e) GBER introduces a flat rate of up to 20 % that can alternatively be applied in research and development projects for calculating additional overheads and other operating expenses, including costs of materials, supplies and similar products, incurred directly </w:t>
      </w:r>
      <w:proofErr w:type="gramStart"/>
      <w:r w:rsidRPr="00EA3C95">
        <w:t>as a result of</w:t>
      </w:r>
      <w:proofErr w:type="gramEnd"/>
      <w:r w:rsidRPr="00EA3C95">
        <w:t xml:space="preserve"> the project, without prejudice to the above-mentioned Article 7(1) GBER. The flat rate is to be applied to total eligible research and development project costs referred to in Article 25(3)(a) to (d) GBER. The Member State can use the flat rate introduced by GBER for operations co-financed by the Cohesion Policy Funds in accordance with Article 53(3)(c) CPR as a corresponding flat rate applicable in Union policies for a similar type of operation.</w:t>
      </w:r>
      <w:r w:rsidR="00EA3C95" w:rsidRPr="00EA3C95">
        <w:rPr>
          <w:vertAlign w:val="superscript"/>
        </w:rPr>
        <w:footnoteReference w:id="25"/>
      </w:r>
      <w:r w:rsidRPr="00EA3C95">
        <w:t xml:space="preserve"> When applying the methods used in other Union policies, the Member State has to ensure that the method is used in its entirety and that the method is applied to similar types of operations.</w:t>
      </w:r>
    </w:p>
    <w:p w14:paraId="067891A3" w14:textId="43385C88" w:rsidR="00EA3C95" w:rsidRDefault="32012CFD" w:rsidP="00EA3C95">
      <w:r>
        <w:t xml:space="preserve">Moreover, some other cases of compatibility can be identified. In case of training aid scheme falling under Article 31 GBER, it is possible to apply the flat rate for indirect costs calculated </w:t>
      </w:r>
      <w:proofErr w:type="gramStart"/>
      <w:r>
        <w:t>on the basis of</w:t>
      </w:r>
      <w:proofErr w:type="gramEnd"/>
      <w:r>
        <w:t xml:space="preserve"> direct costs listed under point (a) of the first subparagraph of Article 54 </w:t>
      </w:r>
      <w:r w:rsidR="6E925795">
        <w:t>CPR</w:t>
      </w:r>
      <w:r>
        <w:t xml:space="preserve"> to the training aid scheme falling under Article 31 GBER. </w:t>
      </w:r>
      <w:proofErr w:type="gramStart"/>
      <w:r>
        <w:t>In order to</w:t>
      </w:r>
      <w:proofErr w:type="gramEnd"/>
      <w:r>
        <w:t xml:space="preserve"> ensure compatibility, indirect costs under point (a) of the first subparagraph of Article 54 CPR calculated as a percentage of direct costs should be computed based only on the categories of direct costs defined as eligible in Article 31(3) GBER, taking into account the specific limitations for each of them provided in the same GBER provision.</w:t>
      </w:r>
    </w:p>
    <w:p w14:paraId="4428F2B2" w14:textId="77777777" w:rsidR="00384816" w:rsidRPr="00EA3C95" w:rsidRDefault="00384816" w:rsidP="00EA3C95"/>
    <w:p w14:paraId="428BE972" w14:textId="625AE4A3" w:rsidR="00D81F00" w:rsidRPr="004E6DE3" w:rsidRDefault="00D81F00" w:rsidP="00B32403">
      <w:pPr>
        <w:pStyle w:val="Heading2"/>
        <w:numPr>
          <w:ilvl w:val="1"/>
          <w:numId w:val="12"/>
        </w:numPr>
        <w:rPr>
          <w:b/>
          <w:bCs/>
          <w:color w:val="4472C4" w:themeColor="accent1"/>
        </w:rPr>
      </w:pPr>
      <w:bookmarkStart w:id="61" w:name="_Toc168350326"/>
      <w:r w:rsidRPr="004E6DE3">
        <w:rPr>
          <w:b/>
          <w:bCs/>
          <w:color w:val="4472C4" w:themeColor="accent1"/>
        </w:rPr>
        <w:t>ERDF and ESF+ specific: cross-financing</w:t>
      </w:r>
      <w:bookmarkEnd w:id="61"/>
    </w:p>
    <w:p w14:paraId="6984A7A7" w14:textId="2CC15488" w:rsidR="00BA57B9" w:rsidRPr="00BA57B9" w:rsidRDefault="00BA57B9" w:rsidP="00BA57B9">
      <w:r w:rsidRPr="00BA57B9">
        <w:t xml:space="preserve">Pursuant to Article 25(2) CPR, when the ERDF or the ESF+ provide support to </w:t>
      </w:r>
      <w:r w:rsidR="00630B7E" w:rsidRPr="00630B7E">
        <w:t xml:space="preserve">all or </w:t>
      </w:r>
      <w:r w:rsidRPr="00BA57B9">
        <w:t xml:space="preserve">part of an operation for which the costs are eligible under the other </w:t>
      </w:r>
      <w:r w:rsidR="00630B7E">
        <w:t>F</w:t>
      </w:r>
      <w:r w:rsidRPr="00BA57B9">
        <w:t xml:space="preserve">und (‘cross-financing’), the eligibility rules of the other Fund apply to that </w:t>
      </w:r>
      <w:r w:rsidR="00630B7E">
        <w:t>(</w:t>
      </w:r>
      <w:r w:rsidRPr="00BA57B9">
        <w:t>part of the</w:t>
      </w:r>
      <w:r w:rsidR="00630B7E">
        <w:t>)</w:t>
      </w:r>
      <w:r w:rsidRPr="00BA57B9">
        <w:t xml:space="preserve"> operation. Cross-financing may be used up to a limit of 15% of support from those Funds for each priority of a programme.</w:t>
      </w:r>
    </w:p>
    <w:p w14:paraId="79EDBC60" w14:textId="5C2801E2" w:rsidR="00BA57B9" w:rsidRPr="00BA57B9" w:rsidRDefault="00BA57B9" w:rsidP="00BA57B9">
      <w:proofErr w:type="gramStart"/>
      <w:r w:rsidRPr="00BA57B9">
        <w:t>With the exception of</w:t>
      </w:r>
      <w:proofErr w:type="gramEnd"/>
      <w:r w:rsidRPr="00BA57B9">
        <w:t xml:space="preserve"> flat rates, a single simplified cost option may be used in relation to expenditure eligible under one or the other Fund.</w:t>
      </w:r>
      <w:r w:rsidR="009E5193">
        <w:t xml:space="preserve"> </w:t>
      </w:r>
      <w:r w:rsidRPr="00BA57B9">
        <w:t xml:space="preserve">The application of the simplified cost options still requires that Member States </w:t>
      </w:r>
      <w:r w:rsidR="00630B7E">
        <w:t xml:space="preserve">to </w:t>
      </w:r>
      <w:r w:rsidRPr="00BA57B9">
        <w:t xml:space="preserve">comply with the above-mentioned 15 % ceiling. </w:t>
      </w:r>
    </w:p>
    <w:p w14:paraId="3060B2D3" w14:textId="13632436" w:rsidR="00BA57B9" w:rsidRDefault="009E5193" w:rsidP="009E5193">
      <w:pPr>
        <w:ind w:left="851"/>
      </w:pPr>
      <w:r>
        <w:rPr>
          <w:b/>
          <w:bCs/>
          <w:iCs/>
          <w:noProof/>
          <w:color w:val="4472C4" w:themeColor="accent1"/>
          <w:shd w:val="clear" w:color="auto" w:fill="E6E6E6"/>
        </w:rPr>
        <w:drawing>
          <wp:anchor distT="0" distB="0" distL="114300" distR="114300" simplePos="0" relativeHeight="251644416" behindDoc="0" locked="0" layoutInCell="1" allowOverlap="1" wp14:anchorId="4B83DA02" wp14:editId="6A1D6216">
            <wp:simplePos x="0" y="0"/>
            <wp:positionH relativeFrom="margin">
              <wp:align>left</wp:align>
            </wp:positionH>
            <wp:positionV relativeFrom="paragraph">
              <wp:posOffset>23550</wp:posOffset>
            </wp:positionV>
            <wp:extent cx="400685" cy="400685"/>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0685" cy="400685"/>
                    </a:xfrm>
                    <a:prstGeom prst="rect">
                      <a:avLst/>
                    </a:prstGeom>
                    <a:noFill/>
                  </pic:spPr>
                </pic:pic>
              </a:graphicData>
            </a:graphic>
            <wp14:sizeRelH relativeFrom="margin">
              <wp14:pctWidth>0</wp14:pctWidth>
            </wp14:sizeRelH>
            <wp14:sizeRelV relativeFrom="margin">
              <wp14:pctHeight>0</wp14:pctHeight>
            </wp14:sizeRelV>
          </wp:anchor>
        </w:drawing>
      </w:r>
      <w:r w:rsidR="00BA57B9" w:rsidRPr="00BA57B9">
        <w:rPr>
          <w:b/>
          <w:bCs/>
          <w:color w:val="4472C4" w:themeColor="accent1"/>
        </w:rPr>
        <w:t>Specifically, for flat rate financing in cases of cross-financing, separate flat rates should apply to each ‘ESF+’ and ‘ERDF’ part of the operation</w:t>
      </w:r>
      <w:r w:rsidR="00BA57B9" w:rsidRPr="00BA57B9">
        <w:t xml:space="preserve">. The ESF+ and ERDF flat rates for similar operations will be applied respectively to the ESF+ and ERDF parts. Using an average of the two rates is not possible as expenditure needs to be traceable to ensure respect of the overall 15% ceiling for cross-financing. Where no rate exists for the other Fund for a similar type of operation (for example because the rule is not applied for the other Fund or because there are no similar operations funded by the other Fund), the managing authority </w:t>
      </w:r>
      <w:proofErr w:type="gramStart"/>
      <w:r w:rsidR="00BA57B9" w:rsidRPr="00BA57B9">
        <w:t>has to</w:t>
      </w:r>
      <w:proofErr w:type="gramEnd"/>
      <w:r w:rsidR="00BA57B9" w:rsidRPr="00BA57B9">
        <w:t xml:space="preserve"> decide on the applicable rate according to the general legal principles established in Article 53(3) </w:t>
      </w:r>
      <w:r w:rsidR="00630B7E">
        <w:t xml:space="preserve">CPR </w:t>
      </w:r>
      <w:r w:rsidR="00BA57B9" w:rsidRPr="00BA57B9">
        <w:t>and Article 54 CPR.</w:t>
      </w:r>
    </w:p>
    <w:tbl>
      <w:tblPr>
        <w:tblStyle w:val="GridTable4-Accent1"/>
        <w:tblW w:w="0" w:type="auto"/>
        <w:tblLook w:val="04A0" w:firstRow="1" w:lastRow="0" w:firstColumn="1" w:lastColumn="0" w:noHBand="0" w:noVBand="1"/>
      </w:tblPr>
      <w:tblGrid>
        <w:gridCol w:w="9016"/>
      </w:tblGrid>
      <w:tr w:rsidR="00BA4812" w14:paraId="2C7910EF" w14:textId="77777777" w:rsidTr="00BA48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785A0DE" w14:textId="4BDC64EB" w:rsidR="00BA4812" w:rsidRPr="00BA4812" w:rsidRDefault="00BA4812" w:rsidP="00BA4812">
            <w:pPr>
              <w:spacing w:after="240"/>
            </w:pPr>
            <w:r w:rsidRPr="00FA41A6">
              <w:t>Example 1:</w:t>
            </w:r>
            <w:r>
              <w:t xml:space="preserve"> </w:t>
            </w:r>
            <w:r w:rsidRPr="6B8ED2E7">
              <w:t>ESF+/ERDF cross-financing with unit costs or lump sums</w:t>
            </w:r>
          </w:p>
        </w:tc>
      </w:tr>
      <w:tr w:rsidR="00BA4812" w14:paraId="6D30687E" w14:textId="77777777" w:rsidTr="00BA4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013FD039" w14:textId="77777777" w:rsidR="00BA4812" w:rsidRPr="00BA4812" w:rsidRDefault="00BA4812" w:rsidP="00BA4812">
            <w:pPr>
              <w:rPr>
                <w:b w:val="0"/>
                <w:bCs w:val="0"/>
              </w:rPr>
            </w:pPr>
            <w:r w:rsidRPr="00BA4812">
              <w:rPr>
                <w:b w:val="0"/>
                <w:bCs w:val="0"/>
              </w:rPr>
              <w:t>If, for an ESF+ operation, the standard scale of EUR 6 / hour x trainee includes purchase of infrastructure for EUR 0.50 / hour eligible under the ERDF, the cross-financed amount will be EUR 0.50 x number of ‘hours x trainee’ realised.</w:t>
            </w:r>
          </w:p>
          <w:p w14:paraId="3B8B61B6" w14:textId="51818AA6" w:rsidR="00BA4812" w:rsidRDefault="00BA4812" w:rsidP="00BA4812">
            <w:r w:rsidRPr="00BA4812">
              <w:rPr>
                <w:b w:val="0"/>
                <w:bCs w:val="0"/>
              </w:rPr>
              <w:t xml:space="preserve">The same principle applies for lump sums: if the draft detailed budget includes some ‘cross-financed expenditure’, it will be accounted and monitored separately. For example, within a EUR 20 000 lump sum </w:t>
            </w:r>
            <w:r w:rsidRPr="00BA4812">
              <w:rPr>
                <w:b w:val="0"/>
                <w:bCs w:val="0"/>
              </w:rPr>
              <w:lastRenderedPageBreak/>
              <w:t>funded by an ESF+ programme, ERDF type expenditure represents EUR 5 000. At the end of the operation the cross-financed amount will be the amount defined ex-ante (EUR 5 000 out of the EUR 20 000) or ‘zero’ if the grant is not paid because the predefined output has not been reached. The binary principle of lump sums, if not mitigated by setting milestones, will also apply to cross-financed expenditure.</w:t>
            </w:r>
          </w:p>
        </w:tc>
      </w:tr>
    </w:tbl>
    <w:p w14:paraId="2C474861" w14:textId="77777777" w:rsidR="00BA4812" w:rsidRDefault="00BA4812" w:rsidP="00BA4812"/>
    <w:tbl>
      <w:tblPr>
        <w:tblStyle w:val="GridTable4-Accent1"/>
        <w:tblW w:w="0" w:type="auto"/>
        <w:tblLook w:val="04A0" w:firstRow="1" w:lastRow="0" w:firstColumn="1" w:lastColumn="0" w:noHBand="0" w:noVBand="1"/>
      </w:tblPr>
      <w:tblGrid>
        <w:gridCol w:w="9016"/>
      </w:tblGrid>
      <w:tr w:rsidR="00C6350A" w14:paraId="7F9A73F8" w14:textId="77777777" w:rsidTr="00C635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4AA0383E" w14:textId="6FAA2525" w:rsidR="00C6350A" w:rsidRPr="00C6350A" w:rsidRDefault="00C6350A" w:rsidP="00BA4812">
            <w:r w:rsidRPr="00FA41A6">
              <w:t xml:space="preserve">Example </w:t>
            </w:r>
            <w:r>
              <w:t>2:</w:t>
            </w:r>
            <w:r w:rsidRPr="00FA41A6">
              <w:t xml:space="preserve"> ESF+/ERDF cross-financing with flat rate financing</w:t>
            </w:r>
          </w:p>
        </w:tc>
      </w:tr>
      <w:tr w:rsidR="00C6350A" w14:paraId="6F858749" w14:textId="77777777" w:rsidTr="00C635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7B261F5A" w14:textId="7E4C3A50" w:rsidR="00C6350A" w:rsidRPr="005F0173" w:rsidRDefault="00C6350A" w:rsidP="00C6350A">
            <w:pPr>
              <w:rPr>
                <w:color w:val="4472C4" w:themeColor="accent1"/>
              </w:rPr>
            </w:pPr>
            <w:r w:rsidRPr="005F0173">
              <w:rPr>
                <w:color w:val="4472C4" w:themeColor="accent1"/>
              </w:rPr>
              <w:t xml:space="preserve">In the case of a flat rate for indirect costs, the cross-financed amount will be the amount of ‘cross-financed direct costs’, added to indirect costs calculated based on the flat rate applicable to these ‘cross-financed direct </w:t>
            </w:r>
            <w:proofErr w:type="gramStart"/>
            <w:r w:rsidRPr="005F0173">
              <w:rPr>
                <w:color w:val="4472C4" w:themeColor="accent1"/>
              </w:rPr>
              <w:t>costs’</w:t>
            </w:r>
            <w:proofErr w:type="gramEnd"/>
            <w:r w:rsidRPr="005F0173">
              <w:rPr>
                <w:color w:val="4472C4" w:themeColor="accent1"/>
              </w:rPr>
              <w:t xml:space="preserve">. </w:t>
            </w:r>
          </w:p>
          <w:p w14:paraId="635FDBF1" w14:textId="008DBFD4" w:rsidR="00C6350A" w:rsidRPr="00C6350A" w:rsidRDefault="00C6350A" w:rsidP="00C6350A">
            <w:pPr>
              <w:rPr>
                <w:b w:val="0"/>
                <w:bCs w:val="0"/>
              </w:rPr>
            </w:pPr>
            <w:r w:rsidRPr="00C6350A">
              <w:rPr>
                <w:b w:val="0"/>
                <w:bCs w:val="0"/>
              </w:rPr>
              <w:t>For example, within a EUR 15 000 operation funded by an ERDF programme, the ‘ESF+ type’ direct costs represent EUR 3 000 and indirect costs are calculated as 15 % of direct costs (EUR 450). The cross-financed amount would thus be EUR 3 450. If at the end of the operation the direct costs were reduced, the cross-financed amount (including for indirect costs) would be reduced according to the same formula.</w:t>
            </w:r>
          </w:p>
        </w:tc>
      </w:tr>
    </w:tbl>
    <w:p w14:paraId="66B997E6" w14:textId="033926A3" w:rsidR="003E1C37" w:rsidRPr="004E6DE3" w:rsidRDefault="003E1C37" w:rsidP="00B32403">
      <w:pPr>
        <w:pStyle w:val="Heading2"/>
        <w:numPr>
          <w:ilvl w:val="1"/>
          <w:numId w:val="12"/>
        </w:numPr>
        <w:rPr>
          <w:b/>
          <w:bCs/>
          <w:color w:val="4472C4" w:themeColor="accent1"/>
        </w:rPr>
      </w:pPr>
      <w:bookmarkStart w:id="62" w:name="_Toc168350327"/>
      <w:r w:rsidRPr="004E6DE3">
        <w:rPr>
          <w:b/>
          <w:bCs/>
          <w:color w:val="4472C4" w:themeColor="accent1"/>
        </w:rPr>
        <w:t>Requirements related to the collection, storage and publishing of data</w:t>
      </w:r>
      <w:bookmarkEnd w:id="62"/>
    </w:p>
    <w:p w14:paraId="38A27B98" w14:textId="77777777" w:rsidR="00413C39" w:rsidRPr="00413C39" w:rsidRDefault="00413C39" w:rsidP="00413C39">
      <w:r w:rsidRPr="00413C39">
        <w:t xml:space="preserve">According to Article 72(1)(e) CPR, the managing authority is obliged to record and store electronically the data on each operation necessary for monitoring, evaluation, financial management, verifications, and audits in accordance with Annex XVII to the CPR. </w:t>
      </w:r>
    </w:p>
    <w:p w14:paraId="4C6C5454" w14:textId="77777777" w:rsidR="00413C39" w:rsidRPr="00413C39" w:rsidRDefault="00413C39" w:rsidP="00413C39">
      <w:r w:rsidRPr="00413C39">
        <w:t>According to the introduction to Annex XVII to the CPR, only data fields that are relevant to the operation in question should be completed. There are data fields specific to the reimbursement in the form of simplified cost options, either for the reimbursement of grants to the beneficiary (fields 86 – 96) or for the reimbursement of the Union contribution to programmes (fields 112 - 114).</w:t>
      </w:r>
    </w:p>
    <w:p w14:paraId="72EBF9BF" w14:textId="77777777" w:rsidR="00413C39" w:rsidRPr="00413C39" w:rsidRDefault="649C4A90" w:rsidP="00413C39">
      <w:r w:rsidRPr="00413C39">
        <w:t>Information in data fields 23 and 24 on contractors, their beneficial owners, contracts, and sub-contractors does not have to be recorded and stored in the case of indirect costs covered by a flat rate, unit cost or lump sum.</w:t>
      </w:r>
      <w:r w:rsidR="00413C39" w:rsidRPr="00413C39">
        <w:rPr>
          <w:vertAlign w:val="superscript"/>
        </w:rPr>
        <w:footnoteReference w:id="26"/>
      </w:r>
      <w:r w:rsidRPr="00413C39">
        <w:t xml:space="preserve"> When a simplified cost option covers both direct costs and indirect costs, the requirement to record and store data on contractors, their beneficial owners, contracts and sub-contractors applies only to the direct costs.</w:t>
      </w:r>
    </w:p>
    <w:p w14:paraId="00CBC63A" w14:textId="39177109" w:rsidR="00413C39" w:rsidRPr="00413C39" w:rsidRDefault="00413C39" w:rsidP="00413C39">
      <w:r w:rsidRPr="00413C39">
        <w:t>According to Article 49(3) CPR, managing authorities need to publish a list of operations selected for support by the Funds on their website. That information should be based on Annex XVII to the CPR. Therefore, the obligation to publish the name of contractors of the beneficiary set out in Article 49(3)(a) CPR does not apply in relation to the contractor’s name in the case of public procurement for indirect costs covered by a simplified cost option.</w:t>
      </w:r>
    </w:p>
    <w:p w14:paraId="00792D8A" w14:textId="04554D45" w:rsidR="003E1C37" w:rsidRPr="004E6DE3" w:rsidRDefault="00343301" w:rsidP="00B32403">
      <w:pPr>
        <w:pStyle w:val="Heading2"/>
        <w:numPr>
          <w:ilvl w:val="1"/>
          <w:numId w:val="12"/>
        </w:numPr>
        <w:rPr>
          <w:b/>
          <w:bCs/>
          <w:color w:val="4472C4" w:themeColor="accent1"/>
        </w:rPr>
      </w:pPr>
      <w:bookmarkStart w:id="63" w:name="_Toc168350328"/>
      <w:r w:rsidRPr="004E6DE3">
        <w:rPr>
          <w:b/>
          <w:bCs/>
          <w:color w:val="4472C4" w:themeColor="accent1"/>
        </w:rPr>
        <w:t xml:space="preserve">Simplified cost options and </w:t>
      </w:r>
      <w:r w:rsidR="00B23849" w:rsidRPr="004E6DE3">
        <w:rPr>
          <w:b/>
          <w:bCs/>
          <w:color w:val="4472C4" w:themeColor="accent1"/>
        </w:rPr>
        <w:t>eligibility period</w:t>
      </w:r>
      <w:bookmarkEnd w:id="63"/>
    </w:p>
    <w:p w14:paraId="0FC1F222" w14:textId="25D8B469" w:rsidR="00D81F00" w:rsidRPr="00D81F00" w:rsidRDefault="00D81F00" w:rsidP="00D81F00">
      <w:pPr>
        <w:rPr>
          <w:lang w:val="en-IE"/>
        </w:rPr>
      </w:pPr>
      <w:r w:rsidRPr="00D81F00">
        <w:rPr>
          <w:lang w:val="en-IE"/>
        </w:rPr>
        <w:t>The second sub-paragraph of Article 63(3) CPR provides that in the context of unit costs and lump sums,</w:t>
      </w:r>
      <w:r w:rsidRPr="00D81F00">
        <w:rPr>
          <w:b/>
          <w:bCs/>
          <w:lang w:val="en-IE"/>
        </w:rPr>
        <w:t xml:space="preserve"> </w:t>
      </w:r>
      <w:r w:rsidRPr="005F0173">
        <w:rPr>
          <w:b/>
          <w:bCs/>
          <w:color w:val="4472C4" w:themeColor="accent1"/>
        </w:rPr>
        <w:t xml:space="preserve">the actions </w:t>
      </w:r>
      <w:bookmarkStart w:id="64" w:name="_Hlk164631969"/>
      <w:r w:rsidRPr="005F0173">
        <w:rPr>
          <w:b/>
          <w:bCs/>
          <w:color w:val="4472C4" w:themeColor="accent1"/>
        </w:rPr>
        <w:t xml:space="preserve">constituting the basis for reimbursement </w:t>
      </w:r>
      <w:bookmarkEnd w:id="64"/>
      <w:r w:rsidRPr="002672FB">
        <w:rPr>
          <w:lang w:val="en-IE"/>
        </w:rPr>
        <w:t>are to be carried out between the date of submission of the programme to the Commission or from 1 January 2021, whichever is earlier, and 31 December 2029</w:t>
      </w:r>
      <w:r w:rsidRPr="005F0173">
        <w:rPr>
          <w:b/>
          <w:bCs/>
          <w:color w:val="4472C4" w:themeColor="accent1"/>
        </w:rPr>
        <w:t xml:space="preserve">. </w:t>
      </w:r>
      <w:r w:rsidRPr="00D81F00">
        <w:rPr>
          <w:lang w:val="en-IE"/>
        </w:rPr>
        <w:t xml:space="preserve">This means that it is not the actual date of the payment by the </w:t>
      </w:r>
      <w:r w:rsidR="002672FB" w:rsidRPr="00D81F00">
        <w:rPr>
          <w:lang w:val="en-IE"/>
        </w:rPr>
        <w:t>beneficiary,</w:t>
      </w:r>
      <w:r w:rsidRPr="00D81F00">
        <w:rPr>
          <w:lang w:val="en-IE"/>
        </w:rPr>
        <w:t xml:space="preserve"> which is relevant for the eligibility period, but the actions</w:t>
      </w:r>
      <w:r w:rsidR="002672FB" w:rsidRPr="002672FB">
        <w:t xml:space="preserve"> </w:t>
      </w:r>
      <w:r w:rsidR="002672FB" w:rsidRPr="002672FB">
        <w:rPr>
          <w:lang w:val="en-IE"/>
        </w:rPr>
        <w:t>constituting the basis for reimbursement</w:t>
      </w:r>
      <w:r w:rsidRPr="00D81F00">
        <w:rPr>
          <w:lang w:val="en-IE"/>
        </w:rPr>
        <w:t>.</w:t>
      </w:r>
    </w:p>
    <w:p w14:paraId="41C0D094" w14:textId="442445DB" w:rsidR="00465135" w:rsidRDefault="00D81F00" w:rsidP="00D81F00">
      <w:pPr>
        <w:rPr>
          <w:lang w:val="en-IE"/>
        </w:rPr>
      </w:pPr>
      <w:r w:rsidRPr="00D81F00">
        <w:rPr>
          <w:lang w:val="en-IE"/>
        </w:rPr>
        <w:t xml:space="preserve">As for the flat rates, only the categories of costs to which the flat rate is applied (basis costs) </w:t>
      </w:r>
      <w:proofErr w:type="gramStart"/>
      <w:r w:rsidRPr="00D81F00">
        <w:rPr>
          <w:lang w:val="en-IE"/>
        </w:rPr>
        <w:t>have to</w:t>
      </w:r>
      <w:proofErr w:type="gramEnd"/>
      <w:r w:rsidRPr="00D81F00">
        <w:rPr>
          <w:lang w:val="en-IE"/>
        </w:rPr>
        <w:t xml:space="preserve"> be incurred by the beneficiary and paid in implementing operations within the eligibility period provided in the first sub-</w:t>
      </w:r>
      <w:r w:rsidRPr="00D81F00">
        <w:rPr>
          <w:lang w:val="en-IE"/>
        </w:rPr>
        <w:lastRenderedPageBreak/>
        <w:t xml:space="preserve">paragraph of Article 63(2) CPR. For example, if indirect costs are calculated in the form of up to 25 % flat rate of eligible direct costs, in accordance with Article 54 CPR, the basis costs for the calculation of the flat rate (eligible direct costs of the operation) </w:t>
      </w:r>
      <w:proofErr w:type="gramStart"/>
      <w:r w:rsidRPr="00D81F00">
        <w:rPr>
          <w:lang w:val="en-IE"/>
        </w:rPr>
        <w:t>have to</w:t>
      </w:r>
      <w:proofErr w:type="gramEnd"/>
      <w:r w:rsidRPr="00D81F00">
        <w:rPr>
          <w:lang w:val="en-IE"/>
        </w:rPr>
        <w:t xml:space="preserve"> be incurred by the beneficiary and paid in implementing operations within the eligibility period, i.e., by 31 December 2029.</w:t>
      </w:r>
    </w:p>
    <w:p w14:paraId="6A9C2D9C" w14:textId="11E30C6C" w:rsidR="00D81F00" w:rsidRPr="00D81F00" w:rsidRDefault="00465135" w:rsidP="00CD38D0">
      <w:pPr>
        <w:spacing w:before="0" w:after="200"/>
        <w:rPr>
          <w:lang w:val="en-IE"/>
        </w:rPr>
      </w:pPr>
      <w:r>
        <w:rPr>
          <w:lang w:val="en-IE"/>
        </w:rPr>
        <w:br w:type="page"/>
      </w:r>
    </w:p>
    <w:p w14:paraId="2EF97DEC" w14:textId="537A2016" w:rsidR="001171AC" w:rsidRPr="004E6DE3" w:rsidRDefault="00DF1038" w:rsidP="00B32403">
      <w:pPr>
        <w:pStyle w:val="Heading1"/>
        <w:rPr>
          <w:b/>
          <w:bCs/>
        </w:rPr>
      </w:pPr>
      <w:bookmarkStart w:id="65" w:name="_Toc168350329"/>
      <w:r w:rsidRPr="004E6DE3">
        <w:rPr>
          <w:b/>
          <w:bCs/>
        </w:rPr>
        <w:lastRenderedPageBreak/>
        <w:t>Chapter 6: Management verifications and audit</w:t>
      </w:r>
      <w:bookmarkEnd w:id="65"/>
    </w:p>
    <w:p w14:paraId="2CBC34F5" w14:textId="77777777" w:rsidR="00D50ECB" w:rsidRPr="00D50ECB" w:rsidRDefault="00D50ECB" w:rsidP="00D50ECB">
      <w:r w:rsidRPr="00D50ECB">
        <w:t xml:space="preserve">Simplified cost options require an </w:t>
      </w:r>
      <w:r w:rsidRPr="00C61107">
        <w:rPr>
          <w:b/>
          <w:bCs/>
          <w:color w:val="4472C4" w:themeColor="accent1"/>
        </w:rPr>
        <w:t>ex-ante approximation of costs</w:t>
      </w:r>
      <w:r w:rsidRPr="00C61107">
        <w:rPr>
          <w:color w:val="4472C4" w:themeColor="accent1"/>
        </w:rPr>
        <w:t xml:space="preserve"> </w:t>
      </w:r>
      <w:r w:rsidRPr="00D50ECB">
        <w:t xml:space="preserve">based on, for example, historical or statistical data. Being average or median amounts, or the result of other statistically sound methodologies, it is inherent that SCOs may overcompensate or undercompensate to a limited extent the actual costs incurred by the beneficiaries and paid in implementing operations. However, this is considered acceptable under applicable rules as SCOs established on a correct methodology are deemed a reliable proxy to real costs; any such overcompensation does not constitute a profit. </w:t>
      </w:r>
    </w:p>
    <w:p w14:paraId="4B48591E" w14:textId="77777777" w:rsidR="00D50ECB" w:rsidRPr="00C61107" w:rsidRDefault="00D50ECB" w:rsidP="00D50ECB">
      <w:pPr>
        <w:rPr>
          <w:color w:val="4472C4" w:themeColor="accent1"/>
        </w:rPr>
      </w:pPr>
      <w:r w:rsidRPr="00C61107">
        <w:rPr>
          <w:b/>
          <w:color w:val="4472C4" w:themeColor="accent1"/>
        </w:rPr>
        <w:t xml:space="preserve">When SCOs are applied, management verifications and audits will not check </w:t>
      </w:r>
      <w:r w:rsidRPr="00C61107">
        <w:rPr>
          <w:b/>
          <w:i/>
          <w:color w:val="4472C4" w:themeColor="accent1"/>
        </w:rPr>
        <w:t>ex post</w:t>
      </w:r>
      <w:r w:rsidRPr="00C61107">
        <w:rPr>
          <w:b/>
          <w:color w:val="4472C4" w:themeColor="accent1"/>
        </w:rPr>
        <w:t xml:space="preserve"> the costs actually incurred by beneficiaries; they will check that the methodology setting up the SCO </w:t>
      </w:r>
      <w:r w:rsidRPr="00C61107">
        <w:rPr>
          <w:b/>
          <w:i/>
          <w:color w:val="4472C4" w:themeColor="accent1"/>
        </w:rPr>
        <w:t>ex ante</w:t>
      </w:r>
      <w:r w:rsidRPr="00C61107">
        <w:rPr>
          <w:b/>
          <w:color w:val="4472C4" w:themeColor="accent1"/>
        </w:rPr>
        <w:t xml:space="preserve"> is in line with applicable rules and that it is correctly applied.</w:t>
      </w:r>
      <w:r w:rsidRPr="00C61107">
        <w:rPr>
          <w:color w:val="4472C4" w:themeColor="accent1"/>
        </w:rPr>
        <w:t xml:space="preserve"> </w:t>
      </w:r>
    </w:p>
    <w:p w14:paraId="6BDB52C3" w14:textId="76611A85" w:rsidR="00D50ECB" w:rsidRPr="00D50ECB" w:rsidRDefault="00D50ECB" w:rsidP="00D50ECB">
      <w:r w:rsidRPr="00D50ECB">
        <w:t>This chapter describes the approach for management verifications and audits of simplified cost options.</w:t>
      </w:r>
    </w:p>
    <w:p w14:paraId="28A97778" w14:textId="42109B64" w:rsidR="003D6433" w:rsidRPr="004E6DE3" w:rsidRDefault="00343301" w:rsidP="00B32403">
      <w:pPr>
        <w:pStyle w:val="Heading2"/>
        <w:rPr>
          <w:b/>
          <w:bCs/>
          <w:color w:val="4472C4" w:themeColor="accent1"/>
        </w:rPr>
      </w:pPr>
      <w:bookmarkStart w:id="66" w:name="_Toc168350330"/>
      <w:r w:rsidRPr="004E6DE3">
        <w:rPr>
          <w:b/>
          <w:bCs/>
          <w:color w:val="4472C4" w:themeColor="accent1"/>
        </w:rPr>
        <w:t>6.1.</w:t>
      </w:r>
      <w:r w:rsidRPr="004E6DE3">
        <w:rPr>
          <w:b/>
          <w:bCs/>
          <w:color w:val="4472C4" w:themeColor="accent1"/>
        </w:rPr>
        <w:tab/>
        <w:t>General approach for management verifications and audit</w:t>
      </w:r>
      <w:bookmarkEnd w:id="66"/>
    </w:p>
    <w:p w14:paraId="017D4EFA" w14:textId="77777777" w:rsidR="00D50ECB" w:rsidRPr="00D50ECB" w:rsidRDefault="69598D40" w:rsidP="00D50ECB">
      <w:r>
        <w:t xml:space="preserve">Where simplified cost options are used, for the purposes of determining the legality and regularity of expenditure, both Commission and national audits and controls will check the correct design of the methodology, and the correct application of the methodology. </w:t>
      </w:r>
    </w:p>
    <w:p w14:paraId="3F4B864A" w14:textId="7AE57B8D" w:rsidR="00D50ECB" w:rsidRPr="00D50ECB" w:rsidRDefault="23EF7521" w:rsidP="00D50ECB">
      <w:pPr>
        <w:rPr>
          <w:b/>
          <w:bCs/>
        </w:rPr>
      </w:pPr>
      <w:r>
        <w:t>A</w:t>
      </w:r>
      <w:r w:rsidR="69598D40">
        <w:t xml:space="preserve">rticle 74(1)(a) CPR states that </w:t>
      </w:r>
      <w:r w:rsidR="69598D40" w:rsidRPr="5F60E5CE">
        <w:rPr>
          <w:b/>
          <w:bCs/>
          <w:color w:val="4472C4" w:themeColor="accent1"/>
        </w:rPr>
        <w:t xml:space="preserve">the managing authority is to verify that the co-financed products and services have been delivered, that the operation complies with applicable law, the </w:t>
      </w:r>
      <w:proofErr w:type="gramStart"/>
      <w:r w:rsidR="69598D40" w:rsidRPr="5F60E5CE">
        <w:rPr>
          <w:b/>
          <w:bCs/>
          <w:color w:val="4472C4" w:themeColor="accent1"/>
        </w:rPr>
        <w:t>programme</w:t>
      </w:r>
      <w:proofErr w:type="gramEnd"/>
      <w:r w:rsidR="69598D40" w:rsidRPr="5F60E5CE">
        <w:rPr>
          <w:b/>
          <w:bCs/>
          <w:color w:val="4472C4" w:themeColor="accent1"/>
        </w:rPr>
        <w:t xml:space="preserve"> and the conditions for support of the operation.</w:t>
      </w:r>
    </w:p>
    <w:p w14:paraId="4F6BAAF0" w14:textId="643D537B" w:rsidR="00D50ECB" w:rsidRPr="00D50ECB" w:rsidRDefault="00D50ECB" w:rsidP="00D50ECB">
      <w:r w:rsidRPr="00D50ECB">
        <w:t xml:space="preserve">In addition, Article 74(1)(a)(ii) CPR states that for costs reimbursed </w:t>
      </w:r>
      <w:proofErr w:type="gramStart"/>
      <w:r w:rsidRPr="00D50ECB">
        <w:t>on the basis of</w:t>
      </w:r>
      <w:proofErr w:type="gramEnd"/>
      <w:r w:rsidRPr="00D50ECB">
        <w:t xml:space="preserve"> simplified cost options, </w:t>
      </w:r>
      <w:r w:rsidRPr="00C61107">
        <w:rPr>
          <w:b/>
          <w:bCs/>
          <w:color w:val="4472C4" w:themeColor="accent1"/>
        </w:rPr>
        <w:t>management verifications will aim at verifying that the conditions for reimbursement of expenditure to the beneficiary have been met</w:t>
      </w:r>
      <w:r w:rsidR="00C61107">
        <w:rPr>
          <w:b/>
          <w:bCs/>
          <w:color w:val="4472C4" w:themeColor="accent1"/>
        </w:rPr>
        <w:t>.</w:t>
      </w:r>
      <w:r w:rsidRPr="00C61107">
        <w:rPr>
          <w:color w:val="4472C4" w:themeColor="accent1"/>
        </w:rPr>
        <w:t xml:space="preserve"> </w:t>
      </w:r>
    </w:p>
    <w:p w14:paraId="70898743" w14:textId="1DDA7E9F" w:rsidR="00D50ECB" w:rsidRPr="00D50ECB" w:rsidRDefault="69598D40" w:rsidP="5F60E5CE">
      <w:r>
        <w:t>The requirement of Article 74(1)(a) CPR that the co-financed products and services have been delivered does not imply that management verifications audits should verify or request documentation of the underlying costs (</w:t>
      </w:r>
      <w:proofErr w:type="gramStart"/>
      <w:r>
        <w:t>e.g.</w:t>
      </w:r>
      <w:proofErr w:type="gramEnd"/>
      <w:r>
        <w:t xml:space="preserve"> invoices, payment documentation). </w:t>
      </w:r>
      <w:r w:rsidRPr="5F60E5CE">
        <w:rPr>
          <w:b/>
          <w:bCs/>
          <w:color w:val="4472C4" w:themeColor="accent1"/>
        </w:rPr>
        <w:t>Management verifications and audits will not cover the actual costs incurred by the beneficiary (</w:t>
      </w:r>
      <w:proofErr w:type="gramStart"/>
      <w:r w:rsidRPr="5F60E5CE">
        <w:rPr>
          <w:b/>
          <w:bCs/>
          <w:color w:val="4472C4" w:themeColor="accent1"/>
        </w:rPr>
        <w:t>e.g.</w:t>
      </w:r>
      <w:proofErr w:type="gramEnd"/>
      <w:r w:rsidRPr="5F60E5CE">
        <w:rPr>
          <w:b/>
          <w:bCs/>
          <w:color w:val="4472C4" w:themeColor="accent1"/>
        </w:rPr>
        <w:t xml:space="preserve"> invoices) nor specific public procurement procedures underlying the expenditure reimbursed on the basis of simplified cost options. </w:t>
      </w:r>
      <w:r>
        <w:t xml:space="preserve">As a consequence, these underlying financial or procurement documents </w:t>
      </w:r>
      <w:r w:rsidR="29AF547A">
        <w:t>sh</w:t>
      </w:r>
      <w:r w:rsidR="4A3E223F">
        <w:t>ould</w:t>
      </w:r>
      <w:r w:rsidR="29AF547A">
        <w:t xml:space="preserve"> </w:t>
      </w:r>
      <w:r>
        <w:t>not be requested</w:t>
      </w:r>
      <w:r w:rsidR="29AF547A">
        <w:t xml:space="preserve"> with a view to check the amounts (expenditure) </w:t>
      </w:r>
      <w:proofErr w:type="gramStart"/>
      <w:r w:rsidR="29AF547A">
        <w:t>incurred  by</w:t>
      </w:r>
      <w:proofErr w:type="gramEnd"/>
      <w:r w:rsidR="29AF547A">
        <w:t xml:space="preserve"> the beneficiary</w:t>
      </w:r>
      <w:r w:rsidR="3CD3C517">
        <w:t xml:space="preserve"> and paid</w:t>
      </w:r>
      <w:r>
        <w:t>.</w:t>
      </w:r>
    </w:p>
    <w:p w14:paraId="776F379C" w14:textId="162682F1" w:rsidR="00D50ECB" w:rsidRDefault="69598D40" w:rsidP="00D50ECB">
      <w:r>
        <w:t xml:space="preserve">For simplified cost options approved by the Commission for the </w:t>
      </w:r>
      <w:r w:rsidRPr="5F60E5CE">
        <w:rPr>
          <w:b/>
          <w:bCs/>
          <w:color w:val="4472C4" w:themeColor="accent1"/>
        </w:rPr>
        <w:t>“upper level”</w:t>
      </w:r>
      <w:r>
        <w:t xml:space="preserve">, according to Article 94(3) CPR, </w:t>
      </w:r>
      <w:r w:rsidRPr="5F60E5CE">
        <w:rPr>
          <w:b/>
          <w:bCs/>
          <w:color w:val="4472C4" w:themeColor="accent1"/>
        </w:rPr>
        <w:t>management verifications and audits will exclusively aim at verifying that the conditions for reimbursement by the Commission have been fulfilled</w:t>
      </w:r>
      <w:r>
        <w:t>.</w:t>
      </w:r>
    </w:p>
    <w:p w14:paraId="76179D73" w14:textId="1BBDB202" w:rsidR="00406D7D" w:rsidRDefault="67806B68" w:rsidP="00406D7D">
      <w:pPr>
        <w:pStyle w:val="Style3"/>
      </w:pPr>
      <w:r>
        <w:t xml:space="preserve">SCOs and risk-based management </w:t>
      </w:r>
      <w:r w:rsidR="663AC706">
        <w:t>verifications</w:t>
      </w:r>
    </w:p>
    <w:p w14:paraId="539BD903" w14:textId="06EDAA23" w:rsidR="00E10E1A" w:rsidRDefault="4954482C" w:rsidP="00D50ECB">
      <w:r>
        <w:t xml:space="preserve">According to article 74(2), </w:t>
      </w:r>
      <w:r w:rsidR="189D6487">
        <w:t xml:space="preserve">management verifications </w:t>
      </w:r>
      <w:r w:rsidR="7E520B4E">
        <w:t xml:space="preserve">are </w:t>
      </w:r>
      <w:r w:rsidR="7907BA45">
        <w:t>carried out</w:t>
      </w:r>
      <w:r w:rsidR="7E520B4E">
        <w:t xml:space="preserve"> based on a risk assessment</w:t>
      </w:r>
      <w:r w:rsidR="554AE708">
        <w:t xml:space="preserve"> performed ex-ante. </w:t>
      </w:r>
      <w:r w:rsidR="70640B62">
        <w:t xml:space="preserve">If according to the risk assessment, the managing authority </w:t>
      </w:r>
      <w:proofErr w:type="gramStart"/>
      <w:r w:rsidR="70640B62">
        <w:t>has to</w:t>
      </w:r>
      <w:proofErr w:type="gramEnd"/>
      <w:r w:rsidR="70640B62">
        <w:t xml:space="preserve"> verify expenditure declared under a SCO</w:t>
      </w:r>
      <w:r w:rsidR="7956E85A">
        <w:t xml:space="preserve"> (SCOs are not to be automatically excluded from the risk assessment)</w:t>
      </w:r>
      <w:r w:rsidR="70640B62">
        <w:t>, the</w:t>
      </w:r>
      <w:r w:rsidR="696EF4B5">
        <w:t xml:space="preserve"> checks will include the specific points detailed in </w:t>
      </w:r>
      <w:r w:rsidR="49511FA5">
        <w:t xml:space="preserve">this </w:t>
      </w:r>
      <w:r w:rsidR="40E8AFAC">
        <w:t>chapter</w:t>
      </w:r>
      <w:r w:rsidR="49511FA5">
        <w:t xml:space="preserve">. </w:t>
      </w:r>
    </w:p>
    <w:p w14:paraId="0FBCC0CB" w14:textId="77777777" w:rsidR="00EF72F8" w:rsidRDefault="00EF72F8" w:rsidP="00D50ECB"/>
    <w:p w14:paraId="6298040D" w14:textId="77777777" w:rsidR="00EF72F8" w:rsidRDefault="00EF72F8" w:rsidP="00D50ECB"/>
    <w:p w14:paraId="5351C74E" w14:textId="77777777" w:rsidR="00EF72F8" w:rsidRPr="00D50ECB" w:rsidRDefault="00EF72F8" w:rsidP="00D50ECB"/>
    <w:p w14:paraId="57491666" w14:textId="4CF2180E" w:rsidR="008A4A79" w:rsidRDefault="663AC706" w:rsidP="008A4A79">
      <w:pPr>
        <w:pStyle w:val="Style3"/>
      </w:pPr>
      <w:r>
        <w:t>Conflict of interest</w:t>
      </w:r>
    </w:p>
    <w:p w14:paraId="32B09B6B" w14:textId="6BC9E775" w:rsidR="008579CC" w:rsidRPr="008579CC" w:rsidRDefault="60EDE6F2" w:rsidP="5F60E5CE">
      <w:r>
        <w:lastRenderedPageBreak/>
        <w:t>The con</w:t>
      </w:r>
      <w:r w:rsidR="298942D2">
        <w:t xml:space="preserve">flict of interest </w:t>
      </w:r>
      <w:r w:rsidR="298942D2">
        <w:t xml:space="preserve">is to </w:t>
      </w:r>
      <w:r w:rsidR="7C99A391">
        <w:t xml:space="preserve">also </w:t>
      </w:r>
      <w:r w:rsidR="298942D2">
        <w:t xml:space="preserve">be addressed </w:t>
      </w:r>
      <w:r w:rsidR="298942D2">
        <w:t>in operations using SCOs</w:t>
      </w:r>
      <w:r w:rsidR="1C866CF2">
        <w:t>. The Commission’s guidance</w:t>
      </w:r>
      <w:r w:rsidR="00127C25">
        <w:rPr>
          <w:rStyle w:val="FootnoteReference"/>
        </w:rPr>
        <w:footnoteReference w:id="27"/>
      </w:r>
      <w:r w:rsidR="1C866CF2">
        <w:t xml:space="preserve"> on </w:t>
      </w:r>
      <w:r w:rsidR="6585C5EF">
        <w:t>the avoidance and management of conflicts</w:t>
      </w:r>
      <w:r w:rsidR="1C866CF2">
        <w:t xml:space="preserve"> of interest </w:t>
      </w:r>
      <w:r w:rsidR="6585C5EF">
        <w:t xml:space="preserve">under the Financial Regulation </w:t>
      </w:r>
      <w:r w:rsidR="1C866CF2">
        <w:t xml:space="preserve">applies. </w:t>
      </w:r>
    </w:p>
    <w:p w14:paraId="447ADEE8" w14:textId="0FE6461E" w:rsidR="00343301" w:rsidRPr="004E6DE3" w:rsidRDefault="402F055C" w:rsidP="5F60E5CE">
      <w:pPr>
        <w:pStyle w:val="Heading2"/>
        <w:rPr>
          <w:b/>
          <w:bCs/>
          <w:color w:val="4472C4" w:themeColor="accent1"/>
        </w:rPr>
      </w:pPr>
      <w:bookmarkStart w:id="67" w:name="_Toc168350331"/>
      <w:r w:rsidRPr="5F60E5CE">
        <w:rPr>
          <w:b/>
          <w:bCs/>
          <w:color w:val="4472C4" w:themeColor="accent1"/>
        </w:rPr>
        <w:t>6.</w:t>
      </w:r>
      <w:r w:rsidR="6017DDDC" w:rsidRPr="5F60E5CE">
        <w:rPr>
          <w:b/>
          <w:bCs/>
          <w:color w:val="4472C4" w:themeColor="accent1"/>
        </w:rPr>
        <w:t>2</w:t>
      </w:r>
      <w:r w:rsidRPr="5F60E5CE">
        <w:rPr>
          <w:b/>
          <w:bCs/>
          <w:color w:val="4472C4" w:themeColor="accent1"/>
        </w:rPr>
        <w:t>.</w:t>
      </w:r>
      <w:r w:rsidR="00343301">
        <w:tab/>
      </w:r>
      <w:r w:rsidRPr="5F60E5CE">
        <w:rPr>
          <w:b/>
          <w:bCs/>
          <w:color w:val="4472C4" w:themeColor="accent1"/>
        </w:rPr>
        <w:t>Verification of the correct establishment of the methodology for the simplified cost option</w:t>
      </w:r>
      <w:bookmarkEnd w:id="67"/>
    </w:p>
    <w:p w14:paraId="6D529480" w14:textId="77777777" w:rsidR="00A60AC7" w:rsidRPr="00A60AC7" w:rsidRDefault="00A60AC7" w:rsidP="00A60AC7">
      <w:r w:rsidRPr="00A60AC7">
        <w:t xml:space="preserve">Verification of the methodology will be carried out at the managing authority or intermediate body level. </w:t>
      </w:r>
    </w:p>
    <w:p w14:paraId="1417F5B4" w14:textId="77777777" w:rsidR="00A60AC7" w:rsidRPr="00A60AC7" w:rsidRDefault="00A60AC7" w:rsidP="00E15DF1">
      <w:r w:rsidRPr="00A60AC7">
        <w:t>The audit authority will assess the establishment of the methodology ex-ante or during implementation, as follows:</w:t>
      </w:r>
    </w:p>
    <w:p w14:paraId="1E206BB4" w14:textId="1C35597C" w:rsidR="00A60AC7" w:rsidRPr="00A60AC7" w:rsidRDefault="0AE10D99" w:rsidP="00E15DF1">
      <w:pPr>
        <w:numPr>
          <w:ilvl w:val="0"/>
          <w:numId w:val="52"/>
        </w:numPr>
      </w:pPr>
      <w:r>
        <w:t>For simplified</w:t>
      </w:r>
      <w:r w:rsidR="55BBC7D8">
        <w:t xml:space="preserve"> cost options </w:t>
      </w:r>
      <w:r w:rsidR="26AB59EC">
        <w:t xml:space="preserve">used at “upper level” </w:t>
      </w:r>
      <w:r w:rsidR="55BBC7D8">
        <w:t>(Article 94 CPR), it is mandatory that the audit authority assesses the methodology ex-ante, before the submission of Appendix 1 of Annexes V and VI CPR to the Commission. After the Commission’s approval of the simplified cost option, the methodology will not be audited again.</w:t>
      </w:r>
    </w:p>
    <w:p w14:paraId="549615FD" w14:textId="64649D07" w:rsidR="00A60AC7" w:rsidRPr="00A60AC7" w:rsidRDefault="56AF3277" w:rsidP="5F60E5CE">
      <w:pPr>
        <w:numPr>
          <w:ilvl w:val="0"/>
          <w:numId w:val="52"/>
        </w:numPr>
      </w:pPr>
      <w:r>
        <w:t>For simplified</w:t>
      </w:r>
      <w:r w:rsidR="55BBC7D8">
        <w:t xml:space="preserve"> cost options</w:t>
      </w:r>
      <w:r w:rsidR="0AC61FA6">
        <w:t xml:space="preserve"> used at </w:t>
      </w:r>
      <w:r w:rsidR="1235DD8A">
        <w:t xml:space="preserve">“lower level” (Article 53 CPR), it is recommended that the audit authority assesses the methodology ex-ante and provides the result of its assessment prior to implementation. If not, the audit authority will assess it during implementation, when auditing expenditure reimbursed to beneficiaries based on simplified cost options.  </w:t>
      </w:r>
      <w:r w:rsidR="68BE03FE">
        <w:t>An ex-ante assessment and validation of the methodology by the audit authority may significantly reduce the risk of irregularities.</w:t>
      </w:r>
      <w:r w:rsidR="73DF9AA0">
        <w:t xml:space="preserve"> </w:t>
      </w:r>
      <w:r w:rsidR="68BE03FE">
        <w:t>In addition, the audit authority can use the result of its assessment for future (assurance) audits, when operations using SCOs are sampled. For the programme, this approach has the advantage of preventing systemic errors that could have financial consequences if detected only during implementation.</w:t>
      </w:r>
    </w:p>
    <w:p w14:paraId="1CD66247" w14:textId="15127867" w:rsidR="00A60AC7" w:rsidRPr="00A60AC7" w:rsidRDefault="68BE03FE" w:rsidP="00A60AC7">
      <w:r>
        <w:t xml:space="preserve">Verification of the SCO methodology </w:t>
      </w:r>
      <w:r w:rsidRPr="5F60E5CE">
        <w:rPr>
          <w:b/>
          <w:bCs/>
          <w:color w:val="4472C4" w:themeColor="accent1"/>
        </w:rPr>
        <w:t>generally</w:t>
      </w:r>
      <w:r w:rsidRPr="5F60E5CE">
        <w:rPr>
          <w:color w:val="4472C4" w:themeColor="accent1"/>
        </w:rPr>
        <w:t xml:space="preserve"> </w:t>
      </w:r>
      <w:r>
        <w:t xml:space="preserve">will be carried out for a </w:t>
      </w:r>
      <w:r w:rsidRPr="5F60E5CE">
        <w:rPr>
          <w:b/>
          <w:bCs/>
          <w:color w:val="4472C4" w:themeColor="accent1"/>
        </w:rPr>
        <w:t>programme (or parts thereof) or several programmes under the responsibility of the managing authority or an intermediate body</w:t>
      </w:r>
      <w:r>
        <w:t>. For SCOs based on beneficiaries’</w:t>
      </w:r>
      <w:r w:rsidR="66228853">
        <w:t xml:space="preserve"> </w:t>
      </w:r>
      <w:r>
        <w:t xml:space="preserve">own data in accordance with Articles 53(3)(a)(ii) and (iii) and 53(3)(b) CPR, that verification will be carried </w:t>
      </w:r>
      <w:r w:rsidR="4DE81E0A">
        <w:t xml:space="preserve">out </w:t>
      </w:r>
      <w:r>
        <w:t xml:space="preserve">for specific beneficiaries. </w:t>
      </w:r>
    </w:p>
    <w:p w14:paraId="67850FB0" w14:textId="77777777" w:rsidR="00A60AC7" w:rsidRPr="00A60AC7" w:rsidRDefault="00A60AC7" w:rsidP="00A60AC7">
      <w:r w:rsidRPr="00A60AC7">
        <w:t>In practice, the audit authority will verify if the simplified cost option was set up in compliance with the requirements for calculation methods specified in Article 53(3) for “lower level” and Article 94(2) CPR for “upper level” and relevant provisions defined by the programme authorities for such simplified cost option.</w:t>
      </w:r>
    </w:p>
    <w:p w14:paraId="76B7C13B" w14:textId="633BAE4E" w:rsidR="00A60AC7" w:rsidRPr="00A60AC7" w:rsidRDefault="00A60AC7" w:rsidP="00A60AC7">
      <w:r w:rsidRPr="00A60AC7">
        <w:t xml:space="preserve">The assessment of the methodology developed by the </w:t>
      </w:r>
      <w:r w:rsidRPr="00A60AC7">
        <w:rPr>
          <w:iCs/>
        </w:rPr>
        <w:t xml:space="preserve">managing authority </w:t>
      </w:r>
      <w:r w:rsidRPr="00A60AC7">
        <w:t>will include:</w:t>
      </w:r>
    </w:p>
    <w:p w14:paraId="027CDCAA" w14:textId="77777777" w:rsidR="00A60AC7" w:rsidRPr="00A60AC7" w:rsidRDefault="55BBC7D8" w:rsidP="00E15DF1">
      <w:pPr>
        <w:numPr>
          <w:ilvl w:val="0"/>
          <w:numId w:val="52"/>
        </w:numPr>
      </w:pPr>
      <w:r>
        <w:t xml:space="preserve">Checking that the methodology was designed based on the methods described in the CPR and that it is properly </w:t>
      </w:r>
      <w:proofErr w:type="gramStart"/>
      <w:r>
        <w:t>described;</w:t>
      </w:r>
      <w:proofErr w:type="gramEnd"/>
    </w:p>
    <w:p w14:paraId="0B2A0C59" w14:textId="64AC36C9" w:rsidR="00A60AC7" w:rsidRPr="00A60AC7" w:rsidRDefault="63745361" w:rsidP="00E15DF1">
      <w:pPr>
        <w:numPr>
          <w:ilvl w:val="0"/>
          <w:numId w:val="52"/>
        </w:numPr>
      </w:pPr>
      <w:r>
        <w:t>C</w:t>
      </w:r>
      <w:r w:rsidR="55BBC7D8">
        <w:t xml:space="preserve">hecking that information on the calculation method is properly documented, easily traceable and </w:t>
      </w:r>
      <w:proofErr w:type="gramStart"/>
      <w:r w:rsidR="55BBC7D8">
        <w:t>correct;</w:t>
      </w:r>
      <w:proofErr w:type="gramEnd"/>
    </w:p>
    <w:p w14:paraId="67287AB7" w14:textId="1337CF10" w:rsidR="00A60AC7" w:rsidRPr="00A60AC7" w:rsidRDefault="56A2BB14" w:rsidP="00E15DF1">
      <w:pPr>
        <w:numPr>
          <w:ilvl w:val="0"/>
          <w:numId w:val="52"/>
        </w:numPr>
      </w:pPr>
      <w:r>
        <w:t>V</w:t>
      </w:r>
      <w:r w:rsidR="55BBC7D8">
        <w:t xml:space="preserve">erifying that costs included in the calculations are relevant and are eligible </w:t>
      </w:r>
      <w:proofErr w:type="gramStart"/>
      <w:r w:rsidR="55BBC7D8">
        <w:t>costs</w:t>
      </w:r>
      <w:r w:rsidR="73A38290">
        <w:t>;</w:t>
      </w:r>
      <w:proofErr w:type="gramEnd"/>
    </w:p>
    <w:p w14:paraId="16F89AC9" w14:textId="40E6E19A" w:rsidR="00A60AC7" w:rsidRPr="00A60AC7" w:rsidRDefault="4E2A821A" w:rsidP="00E15DF1">
      <w:pPr>
        <w:numPr>
          <w:ilvl w:val="0"/>
          <w:numId w:val="52"/>
        </w:numPr>
      </w:pPr>
      <w:r>
        <w:t>V</w:t>
      </w:r>
      <w:r w:rsidR="55BBC7D8">
        <w:t xml:space="preserve">erifying the reliability/accuracy of </w:t>
      </w:r>
      <w:proofErr w:type="gramStart"/>
      <w:r w:rsidR="55BBC7D8">
        <w:t>data</w:t>
      </w:r>
      <w:r w:rsidR="020C14B7">
        <w:t>;</w:t>
      </w:r>
      <w:proofErr w:type="gramEnd"/>
    </w:p>
    <w:p w14:paraId="5A56D32E" w14:textId="2ABC49D3" w:rsidR="00A60AC7" w:rsidRPr="00A60AC7" w:rsidRDefault="511CCA1D" w:rsidP="00E15DF1">
      <w:pPr>
        <w:numPr>
          <w:ilvl w:val="0"/>
          <w:numId w:val="52"/>
        </w:numPr>
      </w:pPr>
      <w:r>
        <w:t>V</w:t>
      </w:r>
      <w:r w:rsidR="55BBC7D8">
        <w:t xml:space="preserve">erifying that all the categories of costs which are covered by the SCO are relevant for the type of operations to be </w:t>
      </w:r>
      <w:proofErr w:type="gramStart"/>
      <w:r w:rsidR="55BBC7D8">
        <w:t>covered</w:t>
      </w:r>
      <w:r w:rsidR="1C2D3BC1">
        <w:t>;</w:t>
      </w:r>
      <w:proofErr w:type="gramEnd"/>
    </w:p>
    <w:p w14:paraId="4FF07476" w14:textId="4F3756B0" w:rsidR="00A60AC7" w:rsidRPr="00A60AC7" w:rsidRDefault="55BBC7D8" w:rsidP="00E15DF1">
      <w:pPr>
        <w:numPr>
          <w:ilvl w:val="0"/>
          <w:numId w:val="52"/>
        </w:numPr>
      </w:pPr>
      <w:r>
        <w:t xml:space="preserve">Verifying that the audit trail for deliverables is described and </w:t>
      </w:r>
      <w:proofErr w:type="gramStart"/>
      <w:r>
        <w:t>relevant</w:t>
      </w:r>
      <w:r w:rsidR="2FA710DB">
        <w:t>;</w:t>
      </w:r>
      <w:proofErr w:type="gramEnd"/>
    </w:p>
    <w:p w14:paraId="56B0AA28" w14:textId="0247985F" w:rsidR="00A60AC7" w:rsidRPr="00A60AC7" w:rsidRDefault="55BBC7D8" w:rsidP="00E15DF1">
      <w:pPr>
        <w:numPr>
          <w:ilvl w:val="0"/>
          <w:numId w:val="52"/>
        </w:numPr>
      </w:pPr>
      <w:r>
        <w:lastRenderedPageBreak/>
        <w:t>In case combination of several SCOs and real costs is possible in the same operation, checking that there is no risk of double financing (</w:t>
      </w:r>
      <w:proofErr w:type="gramStart"/>
      <w:r>
        <w:t>e.g.</w:t>
      </w:r>
      <w:proofErr w:type="gramEnd"/>
      <w:r>
        <w:t xml:space="preserve"> categories of costs covered by flat rates are clearly separated)</w:t>
      </w:r>
      <w:r w:rsidR="3BAC6D5E">
        <w:t>;</w:t>
      </w:r>
      <w:r>
        <w:t xml:space="preserve"> </w:t>
      </w:r>
    </w:p>
    <w:p w14:paraId="527CB1D2" w14:textId="77777777" w:rsidR="00A60AC7" w:rsidRPr="00A60AC7" w:rsidRDefault="55BBC7D8" w:rsidP="00E15DF1">
      <w:pPr>
        <w:numPr>
          <w:ilvl w:val="0"/>
          <w:numId w:val="52"/>
        </w:numPr>
      </w:pPr>
      <w:r>
        <w:t>If an adjustment method is proposed, assessing if the adjustment method is relevant for the specific SCO and</w:t>
      </w:r>
    </w:p>
    <w:p w14:paraId="14BEB7B5" w14:textId="77777777" w:rsidR="00A60AC7" w:rsidRPr="00A60AC7" w:rsidRDefault="55BBC7D8" w:rsidP="00E15DF1">
      <w:pPr>
        <w:numPr>
          <w:ilvl w:val="0"/>
          <w:numId w:val="52"/>
        </w:numPr>
      </w:pPr>
      <w:r>
        <w:t>If the SCO will be used in operations subject to State aid rules, the costs covered by the SCO are eligible according to the State aid rules.</w:t>
      </w:r>
    </w:p>
    <w:p w14:paraId="739A5C3D" w14:textId="645E9F6D" w:rsidR="00A60AC7" w:rsidRPr="00A60AC7" w:rsidRDefault="68BE03FE" w:rsidP="00A60AC7">
      <w:r>
        <w:t>The auditing of the SCO methodology focuses on verifying the fulfilment of the conditions to establish a methodology and does not question the reasons for selecting a specific methodology over another. The choice of method remains the sole responsibility of the managing authority. The managing authority should keep adequate records of the established calculation method and should be able to demonstrate the basis on which the flat rates, standard scales of unit costs or lump sums were set. The records kept for documenting the calculation method will be subject to the requirements for the availability of documents set out in</w:t>
      </w:r>
      <w:r w:rsidR="32457DA6">
        <w:t xml:space="preserve"> </w:t>
      </w:r>
      <w:r>
        <w:t>Article 82 CPR.</w:t>
      </w:r>
    </w:p>
    <w:p w14:paraId="03D186ED" w14:textId="40B16629" w:rsidR="00A60AC7" w:rsidRPr="00A60AC7" w:rsidRDefault="00A60AC7" w:rsidP="00A60AC7">
      <w:r w:rsidRPr="00A60AC7">
        <w:t>For flat rates, lump sums and unit costs which are set in the CPR or Fund-specific Regulations which do not require a calculation to determine the applicable rate</w:t>
      </w:r>
      <w:r>
        <w:t xml:space="preserve"> </w:t>
      </w:r>
      <w:r w:rsidRPr="00A60AC7">
        <w:t>(off the shelf SCOs), audits will focus on the definition of categories of costs (e.g.</w:t>
      </w:r>
      <w:r>
        <w:t>,</w:t>
      </w:r>
      <w:r w:rsidRPr="00A60AC7">
        <w:t xml:space="preserve"> direct costs, indirect costs, direct staff costs). The auditors will verify that the categories of costs covered by the off the shelf flat rates are set out by the managing authority (or monitoring committee for Interreg programmes) either in the programme or in the calls launched. </w:t>
      </w:r>
    </w:p>
    <w:p w14:paraId="5C79EA36" w14:textId="1831E1D4" w:rsidR="00A60AC7" w:rsidRPr="00A60AC7" w:rsidRDefault="00A60AC7" w:rsidP="00A60AC7"/>
    <w:p w14:paraId="1991C404" w14:textId="297C81C0" w:rsidR="00343301" w:rsidRPr="004E6DE3" w:rsidRDefault="402F055C" w:rsidP="00B32403">
      <w:pPr>
        <w:pStyle w:val="Heading2"/>
        <w:rPr>
          <w:b/>
          <w:bCs/>
          <w:color w:val="4472C4" w:themeColor="accent1"/>
        </w:rPr>
      </w:pPr>
      <w:bookmarkStart w:id="68" w:name="_Toc168350332"/>
      <w:r w:rsidRPr="5F60E5CE">
        <w:rPr>
          <w:b/>
          <w:bCs/>
          <w:color w:val="4472C4" w:themeColor="accent1"/>
        </w:rPr>
        <w:t>6.</w:t>
      </w:r>
      <w:r w:rsidR="6017DDDC" w:rsidRPr="5F60E5CE">
        <w:rPr>
          <w:b/>
          <w:bCs/>
          <w:color w:val="4472C4" w:themeColor="accent1"/>
        </w:rPr>
        <w:t>3</w:t>
      </w:r>
      <w:r w:rsidRPr="5F60E5CE">
        <w:rPr>
          <w:b/>
          <w:bCs/>
          <w:color w:val="4472C4" w:themeColor="accent1"/>
        </w:rPr>
        <w:t>.</w:t>
      </w:r>
      <w:r w:rsidR="00343301">
        <w:tab/>
      </w:r>
      <w:r w:rsidRPr="5F60E5CE">
        <w:rPr>
          <w:b/>
          <w:bCs/>
          <w:color w:val="4472C4" w:themeColor="accent1"/>
        </w:rPr>
        <w:t>Verification of the correct application of the methodology</w:t>
      </w:r>
      <w:bookmarkEnd w:id="68"/>
    </w:p>
    <w:p w14:paraId="1F94B0E7" w14:textId="582B2F96" w:rsidR="00A60AC7" w:rsidRPr="00A60AC7" w:rsidRDefault="51780127" w:rsidP="00E15DF1">
      <w:pPr>
        <w:numPr>
          <w:ilvl w:val="0"/>
          <w:numId w:val="52"/>
        </w:numPr>
      </w:pPr>
      <w:r w:rsidRPr="00A60AC7">
        <w:t>When using a flat rate, unit cost or lump sum there is no need to justify the real costs of the categories of expenditure covered by the simplified cost options including, where applicable, depreciation and contributions in kind</w:t>
      </w:r>
      <w:r w:rsidR="00A60AC7" w:rsidRPr="00A60AC7">
        <w:footnoteReference w:id="28"/>
      </w:r>
      <w:r w:rsidRPr="00A60AC7">
        <w:t xml:space="preserve">. </w:t>
      </w:r>
    </w:p>
    <w:p w14:paraId="67C63A66" w14:textId="60957296" w:rsidR="00A60AC7" w:rsidRPr="00A60AC7" w:rsidRDefault="55BBC7D8" w:rsidP="00E15DF1">
      <w:pPr>
        <w:numPr>
          <w:ilvl w:val="0"/>
          <w:numId w:val="52"/>
        </w:numPr>
      </w:pPr>
      <w:r>
        <w:t xml:space="preserve">Verification of compliance with State aid rules is to be performed when using simplified cost options as a reimbursement method for beneficiaries (see section 6.5). </w:t>
      </w:r>
    </w:p>
    <w:p w14:paraId="3CD490C0" w14:textId="41B7181B" w:rsidR="00A60AC7" w:rsidRPr="00A60AC7" w:rsidRDefault="55BBC7D8" w:rsidP="00E15DF1">
      <w:pPr>
        <w:numPr>
          <w:ilvl w:val="0"/>
          <w:numId w:val="52"/>
        </w:numPr>
      </w:pPr>
      <w:r>
        <w:t>There is no legal basis to ask for underlying documents</w:t>
      </w:r>
      <w:r w:rsidR="15B3F3EA">
        <w:t xml:space="preserve"> </w:t>
      </w:r>
      <w:r>
        <w:t>for SCOs established in the CPR (</w:t>
      </w:r>
      <w:proofErr w:type="gramStart"/>
      <w:r>
        <w:t>e.g.</w:t>
      </w:r>
      <w:proofErr w:type="gramEnd"/>
      <w:r>
        <w:t xml:space="preserve"> beneficiaries do not need to provide invoices for real costs to verify if indeed the beneficiary had incurred indirect costs of 15% when point (b) of Article 54 CPR was applied).</w:t>
      </w:r>
    </w:p>
    <w:p w14:paraId="0AE5E5D5" w14:textId="6EAC956A" w:rsidR="00A60AC7" w:rsidRPr="00A60AC7" w:rsidRDefault="55BBC7D8" w:rsidP="00E15DF1">
      <w:pPr>
        <w:numPr>
          <w:ilvl w:val="0"/>
          <w:numId w:val="52"/>
        </w:numPr>
      </w:pPr>
      <w:r>
        <w:t xml:space="preserve">Verification of the correct application of the established method will be done at managing authority level </w:t>
      </w:r>
      <w:r w:rsidR="22B937B6">
        <w:t>for simplified</w:t>
      </w:r>
      <w:r>
        <w:t xml:space="preserve"> cost options </w:t>
      </w:r>
      <w:r w:rsidR="4EE8FF54">
        <w:t xml:space="preserve">used at “upper level” </w:t>
      </w:r>
      <w:r>
        <w:t xml:space="preserve">and at the beneficiary level </w:t>
      </w:r>
      <w:r w:rsidR="33C77646">
        <w:t>for simplified</w:t>
      </w:r>
      <w:r>
        <w:t xml:space="preserve"> cost options</w:t>
      </w:r>
      <w:r w:rsidR="37005331">
        <w:t xml:space="preserve"> used at “lower level”</w:t>
      </w:r>
      <w:r>
        <w:t xml:space="preserve">.  </w:t>
      </w:r>
    </w:p>
    <w:p w14:paraId="63A8C1CC" w14:textId="7CC1215C" w:rsidR="00BE5596" w:rsidRPr="004E6DE3" w:rsidRDefault="003BCED2" w:rsidP="00BF3A70">
      <w:pPr>
        <w:pStyle w:val="Heading3"/>
        <w:ind w:left="720" w:hanging="720"/>
        <w:rPr>
          <w:color w:val="4472C4" w:themeColor="accent1"/>
        </w:rPr>
      </w:pPr>
      <w:bookmarkStart w:id="69" w:name="_Toc168350333"/>
      <w:r w:rsidRPr="5F60E5CE">
        <w:rPr>
          <w:color w:val="4472C4" w:themeColor="accent1"/>
        </w:rPr>
        <w:t>6.</w:t>
      </w:r>
      <w:r w:rsidR="6017DDDC" w:rsidRPr="5F60E5CE">
        <w:rPr>
          <w:color w:val="4472C4" w:themeColor="accent1"/>
        </w:rPr>
        <w:t>3</w:t>
      </w:r>
      <w:r w:rsidRPr="5F60E5CE">
        <w:rPr>
          <w:color w:val="4472C4" w:themeColor="accent1"/>
        </w:rPr>
        <w:t xml:space="preserve">.1. </w:t>
      </w:r>
      <w:r w:rsidR="00BE5596">
        <w:tab/>
      </w:r>
      <w:r w:rsidR="6120AFF4" w:rsidRPr="5F60E5CE">
        <w:rPr>
          <w:color w:val="4472C4" w:themeColor="accent1"/>
        </w:rPr>
        <w:t>Verification of the correct application of flat rates</w:t>
      </w:r>
      <w:bookmarkEnd w:id="69"/>
    </w:p>
    <w:p w14:paraId="04EF8DA3" w14:textId="77777777" w:rsidR="009D1A7B" w:rsidRPr="009D1A7B" w:rsidRDefault="0AD770A3" w:rsidP="009D1A7B">
      <w:r>
        <w:t>There are two types of flat rates:</w:t>
      </w:r>
    </w:p>
    <w:p w14:paraId="75194C5A" w14:textId="599E77C8" w:rsidR="009D1A7B" w:rsidRPr="009D1A7B" w:rsidRDefault="3AEC169D" w:rsidP="00E15DF1">
      <w:pPr>
        <w:numPr>
          <w:ilvl w:val="0"/>
          <w:numId w:val="52"/>
        </w:numPr>
      </w:pPr>
      <w:r>
        <w:lastRenderedPageBreak/>
        <w:t>Off the shelf flat rates established</w:t>
      </w:r>
      <w:r w:rsidR="7BE044F7">
        <w:t xml:space="preserve">, </w:t>
      </w:r>
      <w:r w:rsidR="7BE044F7" w:rsidRPr="5F60E5CE">
        <w:rPr>
          <w:i/>
          <w:iCs/>
        </w:rPr>
        <w:t>inter alia</w:t>
      </w:r>
      <w:r>
        <w:t xml:space="preserve"> in the CPR and </w:t>
      </w:r>
      <w:r w:rsidR="05A4A919">
        <w:t>Fund specific regulations</w:t>
      </w:r>
      <w:r>
        <w:t xml:space="preserve">; for which the managing authorities are not required to establish a calculation method to determine the applicable </w:t>
      </w:r>
      <w:proofErr w:type="gramStart"/>
      <w:r>
        <w:t>rate;</w:t>
      </w:r>
      <w:proofErr w:type="gramEnd"/>
    </w:p>
    <w:p w14:paraId="669303FE" w14:textId="77777777" w:rsidR="009D1A7B" w:rsidRPr="009D1A7B" w:rsidRDefault="3AEC169D" w:rsidP="00E15DF1">
      <w:pPr>
        <w:numPr>
          <w:ilvl w:val="0"/>
          <w:numId w:val="52"/>
        </w:numPr>
      </w:pPr>
      <w:r>
        <w:t>Flat rates for which the managing authorities developed a methodology.</w:t>
      </w:r>
    </w:p>
    <w:p w14:paraId="310D054F" w14:textId="77777777" w:rsidR="009D1A7B" w:rsidRPr="009D1A7B" w:rsidRDefault="009D1A7B" w:rsidP="009D1A7B">
      <w:r w:rsidRPr="009D1A7B">
        <w:t>Verification of the correct application of the flat rate financing system will involve checking the following elements:</w:t>
      </w:r>
    </w:p>
    <w:p w14:paraId="5B917FF7" w14:textId="4545FF4C" w:rsidR="009D1A7B" w:rsidRPr="009D1A7B" w:rsidRDefault="6F823B5C" w:rsidP="009D1A7B">
      <w:pPr>
        <w:numPr>
          <w:ilvl w:val="0"/>
          <w:numId w:val="65"/>
        </w:numPr>
      </w:pPr>
      <w:r>
        <w:t>The managing authority (or the monitoring committee for Interreg programmes) defined the categories of costs covered by the flat rate</w:t>
      </w:r>
      <w:r w:rsidR="6AF2BF01">
        <w:t xml:space="preserve"> and those to which the flat rate applies (the </w:t>
      </w:r>
      <w:r w:rsidR="7E66BC51">
        <w:t>“</w:t>
      </w:r>
      <w:r w:rsidR="6AF2BF01">
        <w:t>basis costs</w:t>
      </w:r>
      <w:r w:rsidR="3AFE2E5F">
        <w:t>”</w:t>
      </w:r>
      <w:r w:rsidR="6AF2BF01">
        <w:t>)</w:t>
      </w:r>
      <w:r>
        <w:t xml:space="preserve">. </w:t>
      </w:r>
      <w:r w:rsidRPr="5F60E5CE">
        <w:rPr>
          <w:b/>
          <w:bCs/>
          <w:color w:val="4472C4" w:themeColor="accent1"/>
        </w:rPr>
        <w:t xml:space="preserve">Managing authorities should </w:t>
      </w:r>
      <w:r w:rsidR="0C649430" w:rsidRPr="5F60E5CE">
        <w:rPr>
          <w:b/>
          <w:bCs/>
          <w:color w:val="4472C4" w:themeColor="accent1"/>
        </w:rPr>
        <w:t xml:space="preserve">either </w:t>
      </w:r>
      <w:r w:rsidRPr="5F60E5CE">
        <w:rPr>
          <w:b/>
          <w:bCs/>
          <w:color w:val="4472C4" w:themeColor="accent1"/>
        </w:rPr>
        <w:t>provide a clear definition of the categories of costs</w:t>
      </w:r>
      <w:r w:rsidRPr="5F60E5CE">
        <w:rPr>
          <w:color w:val="4472C4" w:themeColor="accent1"/>
        </w:rPr>
        <w:t xml:space="preserve"> </w:t>
      </w:r>
      <w:r>
        <w:t xml:space="preserve">or </w:t>
      </w:r>
      <w:r w:rsidR="6C3F22F9">
        <w:t xml:space="preserve">define </w:t>
      </w:r>
      <w:r>
        <w:t xml:space="preserve">a pre-established list of all categories of eligible costs </w:t>
      </w:r>
      <w:r w:rsidR="6AACE02C">
        <w:t xml:space="preserve">covered by the flat rate and those </w:t>
      </w:r>
      <w:r>
        <w:t>on which the flat rate is based (and where relevant the other categories of eligible costs</w:t>
      </w:r>
      <w:proofErr w:type="gramStart"/>
      <w:r>
        <w:t>);</w:t>
      </w:r>
      <w:proofErr w:type="gramEnd"/>
      <w:r>
        <w:t xml:space="preserve"> </w:t>
      </w:r>
    </w:p>
    <w:p w14:paraId="77E6FF84" w14:textId="77777777" w:rsidR="009D1A7B" w:rsidRPr="009D1A7B" w:rsidRDefault="009D1A7B" w:rsidP="009D1A7B">
      <w:pPr>
        <w:numPr>
          <w:ilvl w:val="0"/>
          <w:numId w:val="65"/>
        </w:numPr>
      </w:pPr>
      <w:r w:rsidRPr="009D1A7B">
        <w:t xml:space="preserve">The use of the flat rate is envisaged in the document setting out the conditions for </w:t>
      </w:r>
      <w:proofErr w:type="gramStart"/>
      <w:r w:rsidRPr="009D1A7B">
        <w:t>support;</w:t>
      </w:r>
      <w:proofErr w:type="gramEnd"/>
      <w:r w:rsidRPr="009D1A7B">
        <w:t xml:space="preserve"> </w:t>
      </w:r>
    </w:p>
    <w:p w14:paraId="73E57485" w14:textId="78F15B1C" w:rsidR="009D1A7B" w:rsidRPr="009D1A7B" w:rsidRDefault="3A82E9C3" w:rsidP="009D1A7B">
      <w:pPr>
        <w:numPr>
          <w:ilvl w:val="0"/>
          <w:numId w:val="65"/>
        </w:numPr>
      </w:pPr>
      <w:r w:rsidRPr="009D1A7B">
        <w:t>The costs used as the basis for the calculation (called “basis costs”) are eligible</w:t>
      </w:r>
      <w:r w:rsidR="51383AEB">
        <w:t xml:space="preserve">, </w:t>
      </w:r>
      <w:proofErr w:type="gramStart"/>
      <w:r w:rsidR="51383AEB">
        <w:t>legal</w:t>
      </w:r>
      <w:proofErr w:type="gramEnd"/>
      <w:r w:rsidR="51383AEB">
        <w:t xml:space="preserve"> and regular</w:t>
      </w:r>
      <w:r w:rsidR="009D1A7B" w:rsidRPr="009D1A7B">
        <w:rPr>
          <w:vertAlign w:val="superscript"/>
        </w:rPr>
        <w:footnoteReference w:id="29"/>
      </w:r>
      <w:r w:rsidRPr="009D1A7B">
        <w:t>;</w:t>
      </w:r>
    </w:p>
    <w:p w14:paraId="44B3FF0A" w14:textId="733BF2C1" w:rsidR="009D1A7B" w:rsidRPr="009D1A7B" w:rsidRDefault="6F823B5C" w:rsidP="009D1A7B">
      <w:pPr>
        <w:numPr>
          <w:ilvl w:val="0"/>
          <w:numId w:val="65"/>
        </w:numPr>
      </w:pPr>
      <w:r>
        <w:t>There is no double declaration of the same cost item (the “basis</w:t>
      </w:r>
      <w:r w:rsidR="342E5C5E">
        <w:t>”</w:t>
      </w:r>
      <w:r>
        <w:t xml:space="preserve"> for the calculation</w:t>
      </w:r>
      <w:r w:rsidR="269E4C1E">
        <w:t xml:space="preserve"> </w:t>
      </w:r>
      <w:r>
        <w:t xml:space="preserve">or any other real costs do not include any cost item that is covered by the flat rate). For example, if administration costs are covered by a flat rate for indirect costs, they should not be declared based on costs actually </w:t>
      </w:r>
      <w:proofErr w:type="gramStart"/>
      <w:r>
        <w:t>incurred;</w:t>
      </w:r>
      <w:proofErr w:type="gramEnd"/>
    </w:p>
    <w:p w14:paraId="484BEBB0" w14:textId="77777777" w:rsidR="009D1A7B" w:rsidRPr="009D1A7B" w:rsidRDefault="009D1A7B" w:rsidP="009D1A7B">
      <w:pPr>
        <w:numPr>
          <w:ilvl w:val="0"/>
          <w:numId w:val="65"/>
        </w:numPr>
      </w:pPr>
      <w:r w:rsidRPr="009D1A7B">
        <w:t xml:space="preserve">The amount declared is correctly calculated by applying the flat rate to the “basis” </w:t>
      </w:r>
      <w:proofErr w:type="gramStart"/>
      <w:r w:rsidRPr="009D1A7B">
        <w:t>costs;</w:t>
      </w:r>
      <w:proofErr w:type="gramEnd"/>
    </w:p>
    <w:p w14:paraId="239D9C9A" w14:textId="77777777" w:rsidR="009D1A7B" w:rsidRPr="009D1A7B" w:rsidRDefault="009D1A7B" w:rsidP="009D1A7B">
      <w:pPr>
        <w:numPr>
          <w:ilvl w:val="0"/>
          <w:numId w:val="65"/>
        </w:numPr>
      </w:pPr>
      <w:r w:rsidRPr="009D1A7B">
        <w:t>The amount calculated by applying the flat rate is proportionally adjusted if the value of the basis cost(s) to which the flat rate is applied has been modified. Any reduction of the eligible amount of the” basis costs” accepted following verifications of the categories of eligible costs on which the flat rate is applied (</w:t>
      </w:r>
      <w:proofErr w:type="gramStart"/>
      <w:r w:rsidRPr="009D1A7B">
        <w:t>e.g.</w:t>
      </w:r>
      <w:proofErr w:type="gramEnd"/>
      <w:r w:rsidRPr="009D1A7B">
        <w:t xml:space="preserve"> following a financial correction) of the “basis costs”, will affect proportionally the amount accepted for the categories of costs calculated by applying a flat rate to the “basis costs, </w:t>
      </w:r>
    </w:p>
    <w:p w14:paraId="708D755E" w14:textId="2357A3FC" w:rsidR="009D1A7B" w:rsidRPr="009D1A7B" w:rsidRDefault="6F823B5C" w:rsidP="009D1A7B">
      <w:pPr>
        <w:numPr>
          <w:ilvl w:val="0"/>
          <w:numId w:val="65"/>
        </w:numPr>
      </w:pPr>
      <w:r>
        <w:t>If applicable, State aid rules are observed for SCOs used to reimburse beneficiaries (see section 6.5)</w:t>
      </w:r>
    </w:p>
    <w:p w14:paraId="0FD5A9D5" w14:textId="0F05ADA3" w:rsidR="009D1A7B" w:rsidRPr="009D1A7B" w:rsidRDefault="674EB90A" w:rsidP="5F60E5CE">
      <w:pPr>
        <w:numPr>
          <w:ilvl w:val="0"/>
          <w:numId w:val="65"/>
        </w:numPr>
      </w:pPr>
      <w:r>
        <w:t xml:space="preserve">The cost categories covered by the flat rate are necessary for the </w:t>
      </w:r>
      <w:r w:rsidR="00535094">
        <w:t>operation</w:t>
      </w:r>
      <w:r>
        <w:t>; the existence of the categories of costs covered by the flat rate is verified at selection stage (</w:t>
      </w:r>
      <w:proofErr w:type="gramStart"/>
      <w:r w:rsidR="0083533A">
        <w:t>on the basis of</w:t>
      </w:r>
      <w:proofErr w:type="gramEnd"/>
      <w:r>
        <w:t xml:space="preserve"> the application</w:t>
      </w:r>
      <w:r w:rsidR="46D8146C">
        <w:t xml:space="preserve"> for funding and </w:t>
      </w:r>
      <w:r w:rsidR="42099D24">
        <w:t>the document setting out the conditions for support</w:t>
      </w:r>
      <w:r>
        <w:t>)</w:t>
      </w:r>
      <w:r w:rsidR="6F823B5C">
        <w:t>.</w:t>
      </w:r>
    </w:p>
    <w:p w14:paraId="12E1020F" w14:textId="77777777" w:rsidR="009D1A7B" w:rsidRPr="009D1A7B" w:rsidRDefault="009D1A7B" w:rsidP="0012791B">
      <w:r w:rsidRPr="00873DEE">
        <w:rPr>
          <w:b/>
          <w:bCs/>
          <w:color w:val="4472C4" w:themeColor="accent1"/>
        </w:rPr>
        <w:t>No checks</w:t>
      </w:r>
      <w:r w:rsidRPr="00873DEE">
        <w:rPr>
          <w:color w:val="4472C4" w:themeColor="accent1"/>
        </w:rPr>
        <w:t xml:space="preserve"> </w:t>
      </w:r>
      <w:r w:rsidRPr="009D1A7B">
        <w:t>are to be performed on:</w:t>
      </w:r>
    </w:p>
    <w:p w14:paraId="19245573" w14:textId="1AE47925" w:rsidR="009D1A7B" w:rsidRPr="009D1A7B" w:rsidRDefault="3AEC169D" w:rsidP="0012791B">
      <w:pPr>
        <w:numPr>
          <w:ilvl w:val="0"/>
          <w:numId w:val="52"/>
        </w:numPr>
      </w:pPr>
      <w:r>
        <w:t xml:space="preserve">The actual costs incurred by the beneficiary or related (financial) supporting documents for the amounts reimbursed on the basis of a flat </w:t>
      </w:r>
      <w:proofErr w:type="gramStart"/>
      <w:r>
        <w:t>rate</w:t>
      </w:r>
      <w:r w:rsidR="06825FBF">
        <w:t>;</w:t>
      </w:r>
      <w:proofErr w:type="gramEnd"/>
    </w:p>
    <w:p w14:paraId="21EEE203" w14:textId="2706C233" w:rsidR="009D1A7B" w:rsidRPr="009D1A7B" w:rsidRDefault="3AEC169D" w:rsidP="0012791B">
      <w:pPr>
        <w:numPr>
          <w:ilvl w:val="0"/>
          <w:numId w:val="52"/>
        </w:numPr>
      </w:pPr>
      <w:r>
        <w:t xml:space="preserve">Supporting documents to check that the amount of the flat rate was spent by the beneficiary on the correct cost </w:t>
      </w:r>
      <w:proofErr w:type="gramStart"/>
      <w:r>
        <w:t>category</w:t>
      </w:r>
      <w:r w:rsidR="074CAB94">
        <w:t>;</w:t>
      </w:r>
      <w:proofErr w:type="gramEnd"/>
    </w:p>
    <w:p w14:paraId="06C51500" w14:textId="29BBAA39" w:rsidR="009D1A7B" w:rsidRPr="009D1A7B" w:rsidRDefault="3AEC169D" w:rsidP="0012791B">
      <w:pPr>
        <w:numPr>
          <w:ilvl w:val="0"/>
          <w:numId w:val="52"/>
        </w:numPr>
      </w:pPr>
      <w:r>
        <w:t>The accounting system of beneficiaries</w:t>
      </w:r>
      <w:r w:rsidR="1F921AD9">
        <w:t>.</w:t>
      </w:r>
    </w:p>
    <w:p w14:paraId="0520FC11" w14:textId="2877A4AA" w:rsidR="001A1C8F" w:rsidRPr="001A1C8F" w:rsidRDefault="3A82E9C3" w:rsidP="001A1C8F">
      <w:r w:rsidRPr="009D1A7B">
        <w:t>As technical assistance reimbursed based on a flat rate</w:t>
      </w:r>
      <w:r w:rsidR="009D1A7B" w:rsidRPr="009D1A7B">
        <w:rPr>
          <w:vertAlign w:val="superscript"/>
        </w:rPr>
        <w:footnoteReference w:id="30"/>
      </w:r>
      <w:r w:rsidRPr="009D1A7B">
        <w:t xml:space="preserve"> is calculated automatically in SFC2021 based on declared expenditure, there are no checks</w:t>
      </w:r>
      <w:r w:rsidR="622230A1">
        <w:t xml:space="preserve"> </w:t>
      </w:r>
      <w:r>
        <w:t xml:space="preserve">to be performed by the managing authority or audit authority. Reductions in the expenditure forming the basis of calculation of the flat rate following the application of </w:t>
      </w:r>
      <w:r>
        <w:lastRenderedPageBreak/>
        <w:t xml:space="preserve">financial corrections will affect the automatic calculation of the flat rate, resulting in a proportional reduction of support for the technical </w:t>
      </w:r>
      <w:proofErr w:type="gramStart"/>
      <w:r>
        <w:t>assistance</w:t>
      </w:r>
      <w:proofErr w:type="gramEnd"/>
    </w:p>
    <w:p w14:paraId="5152DC3A" w14:textId="38A3AE99" w:rsidR="008666AB" w:rsidRPr="004E6DE3" w:rsidRDefault="6120AFF4" w:rsidP="001A1C8F">
      <w:pPr>
        <w:pStyle w:val="Heading3"/>
        <w:ind w:left="720" w:hanging="720"/>
        <w:rPr>
          <w:color w:val="4472C4" w:themeColor="accent1"/>
        </w:rPr>
      </w:pPr>
      <w:bookmarkStart w:id="70" w:name="_Toc168350334"/>
      <w:r w:rsidRPr="5F60E5CE">
        <w:rPr>
          <w:color w:val="4472C4" w:themeColor="accent1"/>
        </w:rPr>
        <w:t>6.</w:t>
      </w:r>
      <w:r w:rsidR="6017DDDC" w:rsidRPr="5F60E5CE">
        <w:rPr>
          <w:color w:val="4472C4" w:themeColor="accent1"/>
        </w:rPr>
        <w:t>3</w:t>
      </w:r>
      <w:r w:rsidRPr="5F60E5CE">
        <w:rPr>
          <w:color w:val="4472C4" w:themeColor="accent1"/>
        </w:rPr>
        <w:t xml:space="preserve">.2. </w:t>
      </w:r>
      <w:r w:rsidR="008666AB">
        <w:tab/>
      </w:r>
      <w:r w:rsidR="1CA91410" w:rsidRPr="5F60E5CE">
        <w:rPr>
          <w:color w:val="4472C4" w:themeColor="accent1"/>
        </w:rPr>
        <w:t>Verification</w:t>
      </w:r>
      <w:r w:rsidRPr="5F60E5CE">
        <w:rPr>
          <w:color w:val="4472C4" w:themeColor="accent1"/>
        </w:rPr>
        <w:t xml:space="preserve"> of the correct application of standard scales of unit costs</w:t>
      </w:r>
      <w:bookmarkEnd w:id="70"/>
    </w:p>
    <w:p w14:paraId="49B53974" w14:textId="77777777" w:rsidR="00E15DF1" w:rsidRPr="00873DEE" w:rsidRDefault="00E15DF1" w:rsidP="00E15DF1">
      <w:pPr>
        <w:rPr>
          <w:color w:val="4472C4" w:themeColor="accent1"/>
        </w:rPr>
      </w:pPr>
      <w:r w:rsidRPr="00E15DF1">
        <w:t>Verification of the correct application of standard scales of unit costs will include an assessment to ascertain</w:t>
      </w:r>
      <w:r w:rsidRPr="00E15DF1">
        <w:rPr>
          <w:b/>
        </w:rPr>
        <w:t xml:space="preserve"> </w:t>
      </w:r>
      <w:r w:rsidRPr="00873DEE">
        <w:rPr>
          <w:b/>
          <w:color w:val="4472C4" w:themeColor="accent1"/>
        </w:rPr>
        <w:t>whether the conditions set in terms of process, outputs and/or results for the reimbursement of costs have been fulfilled</w:t>
      </w:r>
      <w:r w:rsidRPr="00873DEE">
        <w:rPr>
          <w:color w:val="4472C4" w:themeColor="accent1"/>
        </w:rPr>
        <w:t xml:space="preserve">. </w:t>
      </w:r>
    </w:p>
    <w:p w14:paraId="3C5DEE78" w14:textId="198977CA" w:rsidR="0389C4B4" w:rsidRDefault="0389C4B4" w:rsidP="5F60E5CE">
      <w:r>
        <w:t xml:space="preserve"> Verification of the correct application of the unit costs will involve checking the following elements:</w:t>
      </w:r>
    </w:p>
    <w:p w14:paraId="252BC964" w14:textId="25BE6B9F" w:rsidR="00E15DF1" w:rsidRPr="00E15DF1" w:rsidRDefault="07177DFC" w:rsidP="0012791B">
      <w:pPr>
        <w:numPr>
          <w:ilvl w:val="0"/>
          <w:numId w:val="52"/>
        </w:numPr>
      </w:pPr>
      <w:r>
        <w:t xml:space="preserve">The use of the unit cost is envisaged in the document setting out the conditions for </w:t>
      </w:r>
      <w:proofErr w:type="gramStart"/>
      <w:r>
        <w:t>support</w:t>
      </w:r>
      <w:r w:rsidR="51DAA752">
        <w:t>;</w:t>
      </w:r>
      <w:proofErr w:type="gramEnd"/>
    </w:p>
    <w:p w14:paraId="1BD9BACD" w14:textId="043951C9" w:rsidR="00E15DF1" w:rsidRPr="00E15DF1" w:rsidRDefault="07177DFC" w:rsidP="0012791B">
      <w:pPr>
        <w:numPr>
          <w:ilvl w:val="0"/>
          <w:numId w:val="52"/>
        </w:numPr>
      </w:pPr>
      <w:r>
        <w:t xml:space="preserve">The units delivered by the project in the sense of quantified inputs, outputs, or results covered by the unit cost are documented and thus verifiable and are real. Unit costs linked to outputs and results which have not been achieved cannot be </w:t>
      </w:r>
      <w:proofErr w:type="gramStart"/>
      <w:r>
        <w:t>declared</w:t>
      </w:r>
      <w:r w:rsidR="37B0D503">
        <w:t>;</w:t>
      </w:r>
      <w:proofErr w:type="gramEnd"/>
    </w:p>
    <w:p w14:paraId="0AE00A2A" w14:textId="3714B208" w:rsidR="00E15DF1" w:rsidRPr="00E15DF1" w:rsidRDefault="07177DFC" w:rsidP="0012791B">
      <w:pPr>
        <w:numPr>
          <w:ilvl w:val="0"/>
          <w:numId w:val="52"/>
        </w:numPr>
      </w:pPr>
      <w:r>
        <w:t xml:space="preserve">The amount declared equals the set unit cost multiplied by the actual units delivered by the </w:t>
      </w:r>
      <w:proofErr w:type="gramStart"/>
      <w:r>
        <w:t>project</w:t>
      </w:r>
      <w:r w:rsidR="6C683AF9">
        <w:t>;</w:t>
      </w:r>
      <w:proofErr w:type="gramEnd"/>
    </w:p>
    <w:p w14:paraId="4FF2AFDE" w14:textId="281BAA2A" w:rsidR="00E15DF1" w:rsidRPr="00E15DF1" w:rsidRDefault="07177DFC" w:rsidP="0012791B">
      <w:pPr>
        <w:numPr>
          <w:ilvl w:val="0"/>
          <w:numId w:val="52"/>
        </w:numPr>
      </w:pPr>
      <w:r>
        <w:t>There is no double declaration of the same cost item (costs declared under other forms of reimbursement do not include any cost item covered by the unit cost</w:t>
      </w:r>
      <w:proofErr w:type="gramStart"/>
      <w:r>
        <w:t>)</w:t>
      </w:r>
      <w:r w:rsidR="260316E1">
        <w:t>;</w:t>
      </w:r>
      <w:proofErr w:type="gramEnd"/>
    </w:p>
    <w:p w14:paraId="2C51C3D9" w14:textId="568F1242" w:rsidR="00E15DF1" w:rsidRPr="00E15DF1" w:rsidRDefault="07177DFC" w:rsidP="0012791B">
      <w:pPr>
        <w:numPr>
          <w:ilvl w:val="0"/>
          <w:numId w:val="52"/>
        </w:numPr>
      </w:pPr>
      <w:r>
        <w:t xml:space="preserve">If other conditions are set in the document setting out the conditions for support, </w:t>
      </w:r>
      <w:r w:rsidR="16949D0F">
        <w:t>during management verifications and audits</w:t>
      </w:r>
      <w:r>
        <w:t xml:space="preserve"> the fulfilment of those conditions</w:t>
      </w:r>
      <w:r w:rsidR="7CF76066">
        <w:t xml:space="preserve"> will have to be verified as </w:t>
      </w:r>
      <w:proofErr w:type="gramStart"/>
      <w:r w:rsidR="7CF76066">
        <w:t>well</w:t>
      </w:r>
      <w:r w:rsidR="05E44D72">
        <w:t>;</w:t>
      </w:r>
      <w:proofErr w:type="gramEnd"/>
    </w:p>
    <w:p w14:paraId="57D31A65" w14:textId="5B1C7F65" w:rsidR="00E15DF1" w:rsidRPr="00E15DF1" w:rsidRDefault="07177DFC" w:rsidP="0012791B">
      <w:pPr>
        <w:numPr>
          <w:ilvl w:val="0"/>
          <w:numId w:val="52"/>
        </w:numPr>
      </w:pPr>
      <w:r>
        <w:t>If applicable, State aid rules are respected for SCOs used to reimburse beneficiaries (see section 6.5).</w:t>
      </w:r>
    </w:p>
    <w:p w14:paraId="58A8883B" w14:textId="2B6AE789" w:rsidR="00E15DF1" w:rsidRPr="00E15DF1" w:rsidRDefault="00E15DF1" w:rsidP="00E15DF1">
      <w:r w:rsidRPr="00873DEE">
        <w:rPr>
          <w:b/>
          <w:bCs/>
          <w:color w:val="4472C4" w:themeColor="accent1"/>
        </w:rPr>
        <w:t>No checks</w:t>
      </w:r>
      <w:r w:rsidRPr="00873DEE">
        <w:rPr>
          <w:color w:val="4472C4" w:themeColor="accent1"/>
        </w:rPr>
        <w:t xml:space="preserve"> </w:t>
      </w:r>
      <w:r w:rsidRPr="00E15DF1">
        <w:t>are to be performed on:</w:t>
      </w:r>
    </w:p>
    <w:p w14:paraId="547F1CB8" w14:textId="7442F014" w:rsidR="00E15DF1" w:rsidRPr="00E15DF1" w:rsidRDefault="07177DFC" w:rsidP="0012791B">
      <w:pPr>
        <w:numPr>
          <w:ilvl w:val="0"/>
          <w:numId w:val="52"/>
        </w:numPr>
      </w:pPr>
      <w:r>
        <w:t xml:space="preserve">The actual costs incurred by the beneficiary or related (financial) supporting documents for the amounts reimbursed on the basis of unit </w:t>
      </w:r>
      <w:proofErr w:type="gramStart"/>
      <w:r>
        <w:t>costs</w:t>
      </w:r>
      <w:r w:rsidR="31F4D5F0">
        <w:t>;</w:t>
      </w:r>
      <w:proofErr w:type="gramEnd"/>
      <w:r>
        <w:t xml:space="preserve">  </w:t>
      </w:r>
    </w:p>
    <w:p w14:paraId="2B7D9E27" w14:textId="5B8EDDE7" w:rsidR="00E15DF1" w:rsidRPr="00E15DF1" w:rsidRDefault="07177DFC" w:rsidP="0012791B">
      <w:pPr>
        <w:numPr>
          <w:ilvl w:val="0"/>
          <w:numId w:val="52"/>
        </w:numPr>
      </w:pPr>
      <w:r>
        <w:t>Supporting documents to check that the amount reimbursed as unit costs was spent by the beneficiary on the correct cost category</w:t>
      </w:r>
      <w:r w:rsidR="72351772">
        <w:t>.</w:t>
      </w:r>
      <w:r>
        <w:t xml:space="preserve"> </w:t>
      </w:r>
    </w:p>
    <w:p w14:paraId="7689E664" w14:textId="7764F8CE" w:rsidR="00D61674" w:rsidRPr="0012791B" w:rsidRDefault="07177DFC" w:rsidP="0012791B">
      <w:pPr>
        <w:numPr>
          <w:ilvl w:val="0"/>
          <w:numId w:val="52"/>
        </w:numPr>
      </w:pPr>
      <w:r>
        <w:t>The accounting system of beneficiaries</w:t>
      </w:r>
    </w:p>
    <w:p w14:paraId="0B7098B7" w14:textId="2927A39A" w:rsidR="008666AB" w:rsidRPr="004E6DE3" w:rsidRDefault="6120AFF4" w:rsidP="001A1C8F">
      <w:pPr>
        <w:pStyle w:val="Heading3"/>
        <w:ind w:left="720" w:hanging="720"/>
        <w:rPr>
          <w:color w:val="4472C4" w:themeColor="accent1"/>
        </w:rPr>
      </w:pPr>
      <w:bookmarkStart w:id="71" w:name="_Toc168350335"/>
      <w:r w:rsidRPr="5F60E5CE">
        <w:rPr>
          <w:color w:val="4472C4" w:themeColor="accent1"/>
        </w:rPr>
        <w:t>6.</w:t>
      </w:r>
      <w:r w:rsidR="6017DDDC" w:rsidRPr="5F60E5CE">
        <w:rPr>
          <w:color w:val="4472C4" w:themeColor="accent1"/>
        </w:rPr>
        <w:t>3</w:t>
      </w:r>
      <w:r w:rsidRPr="5F60E5CE">
        <w:rPr>
          <w:color w:val="4472C4" w:themeColor="accent1"/>
        </w:rPr>
        <w:t>.3.</w:t>
      </w:r>
      <w:r w:rsidR="008666AB">
        <w:tab/>
      </w:r>
      <w:r w:rsidRPr="5F60E5CE">
        <w:rPr>
          <w:color w:val="4472C4" w:themeColor="accent1"/>
        </w:rPr>
        <w:t>Verification of the correct application of lump sums</w:t>
      </w:r>
      <w:bookmarkEnd w:id="71"/>
    </w:p>
    <w:p w14:paraId="7B4D5E5D" w14:textId="77777777" w:rsidR="003672B6" w:rsidRPr="003672B6" w:rsidRDefault="0E8D3AB2" w:rsidP="003672B6">
      <w:r>
        <w:t xml:space="preserve">In the case of lump sums, the realisation of the operation is key to trigger the payment.  It is therefore essential to </w:t>
      </w:r>
      <w:r w:rsidRPr="5F60E5CE">
        <w:rPr>
          <w:b/>
          <w:bCs/>
          <w:color w:val="4472C4" w:themeColor="accent1"/>
        </w:rPr>
        <w:t>get assurance that the outputs / results reported are rea</w:t>
      </w:r>
      <w:r>
        <w:t>l.  The control thus consists in checking the following elements:</w:t>
      </w:r>
    </w:p>
    <w:p w14:paraId="622A0EF1" w14:textId="6077D7B3" w:rsidR="003672B6" w:rsidRPr="003672B6" w:rsidRDefault="1D0B811D" w:rsidP="003672B6">
      <w:pPr>
        <w:numPr>
          <w:ilvl w:val="0"/>
          <w:numId w:val="52"/>
        </w:numPr>
      </w:pPr>
      <w:r>
        <w:t xml:space="preserve">The use of </w:t>
      </w:r>
      <w:r>
        <w:t xml:space="preserve">the lump sum is envisaged in the document setting out the conditions for </w:t>
      </w:r>
      <w:proofErr w:type="gramStart"/>
      <w:r>
        <w:t>support</w:t>
      </w:r>
      <w:r w:rsidR="5291ABC4">
        <w:t>;</w:t>
      </w:r>
      <w:proofErr w:type="gramEnd"/>
    </w:p>
    <w:p w14:paraId="028C28D1" w14:textId="09EAC7F7" w:rsidR="003672B6" w:rsidRPr="003672B6" w:rsidRDefault="1D0B811D" w:rsidP="003672B6">
      <w:pPr>
        <w:numPr>
          <w:ilvl w:val="0"/>
          <w:numId w:val="52"/>
        </w:numPr>
      </w:pPr>
      <w:r>
        <w:t xml:space="preserve">The agreed steps (milestones, if applicable) of the project were fully completed and the outputs/results were </w:t>
      </w:r>
      <w:r>
        <w:t>delivered in line with the conditions set by the programme authorities for the use of the SCO (the outputs/results need to be documented</w:t>
      </w:r>
      <w:proofErr w:type="gramStart"/>
      <w:r>
        <w:t>)</w:t>
      </w:r>
      <w:r w:rsidR="5F44A0F9">
        <w:t>;</w:t>
      </w:r>
      <w:proofErr w:type="gramEnd"/>
    </w:p>
    <w:p w14:paraId="560697AA" w14:textId="047A2462" w:rsidR="003672B6" w:rsidRPr="003672B6" w:rsidRDefault="1D0B811D" w:rsidP="003672B6">
      <w:pPr>
        <w:numPr>
          <w:ilvl w:val="0"/>
          <w:numId w:val="52"/>
        </w:numPr>
      </w:pPr>
      <w:r>
        <w:t>There is no double declaration of the same cost item (costs declared under other forms of reimbursement do not include any cost item that is covered by the lump sum</w:t>
      </w:r>
      <w:proofErr w:type="gramStart"/>
      <w:r>
        <w:t>)</w:t>
      </w:r>
      <w:r w:rsidR="6D52ACDB">
        <w:t>;</w:t>
      </w:r>
      <w:proofErr w:type="gramEnd"/>
    </w:p>
    <w:p w14:paraId="55F54860" w14:textId="25FAD7A1" w:rsidR="003672B6" w:rsidRPr="003672B6" w:rsidRDefault="1D0B811D" w:rsidP="003672B6">
      <w:pPr>
        <w:numPr>
          <w:ilvl w:val="0"/>
          <w:numId w:val="52"/>
        </w:numPr>
      </w:pPr>
      <w:r>
        <w:t xml:space="preserve">If other conditions are set in the document setting out the conditions for support, </w:t>
      </w:r>
      <w:r w:rsidR="34B42711">
        <w:t xml:space="preserve">during management verifications and audits the fulfilment of those conditions will have to be verified as </w:t>
      </w:r>
      <w:proofErr w:type="gramStart"/>
      <w:r w:rsidR="34B42711">
        <w:t>well;</w:t>
      </w:r>
      <w:proofErr w:type="gramEnd"/>
    </w:p>
    <w:p w14:paraId="3DE65FC5" w14:textId="4323E01A" w:rsidR="003672B6" w:rsidRPr="003672B6" w:rsidRDefault="1D0B811D" w:rsidP="003672B6">
      <w:pPr>
        <w:numPr>
          <w:ilvl w:val="0"/>
          <w:numId w:val="52"/>
        </w:numPr>
      </w:pPr>
      <w:r>
        <w:lastRenderedPageBreak/>
        <w:t>If applicable, State aid rules are respected for SCOs used to reimburse beneficiaries (see section 6.5).</w:t>
      </w:r>
    </w:p>
    <w:p w14:paraId="49F4DAB0" w14:textId="77777777" w:rsidR="003672B6" w:rsidRPr="003672B6" w:rsidRDefault="003672B6" w:rsidP="003672B6">
      <w:r w:rsidRPr="00873DEE">
        <w:rPr>
          <w:b/>
          <w:bCs/>
          <w:color w:val="4472C4" w:themeColor="accent1"/>
        </w:rPr>
        <w:t>No checks</w:t>
      </w:r>
      <w:r w:rsidRPr="00873DEE">
        <w:rPr>
          <w:color w:val="4472C4" w:themeColor="accent1"/>
        </w:rPr>
        <w:t xml:space="preserve"> </w:t>
      </w:r>
      <w:r w:rsidRPr="003672B6">
        <w:t>are to be performed on:</w:t>
      </w:r>
    </w:p>
    <w:p w14:paraId="51766EC6" w14:textId="0A114F24" w:rsidR="003672B6" w:rsidRPr="003672B6" w:rsidRDefault="1D0B811D" w:rsidP="003672B6">
      <w:pPr>
        <w:numPr>
          <w:ilvl w:val="0"/>
          <w:numId w:val="52"/>
        </w:numPr>
      </w:pPr>
      <w:r>
        <w:t>The actual costs incurred by the beneficiary in relation to the delivered outputs/</w:t>
      </w:r>
      <w:proofErr w:type="gramStart"/>
      <w:r>
        <w:t>results</w:t>
      </w:r>
      <w:r w:rsidR="123D515B">
        <w:t>;</w:t>
      </w:r>
      <w:proofErr w:type="gramEnd"/>
    </w:p>
    <w:p w14:paraId="47847DCB" w14:textId="59F8046D" w:rsidR="003672B6" w:rsidRPr="003672B6" w:rsidRDefault="1D0B811D" w:rsidP="003672B6">
      <w:pPr>
        <w:numPr>
          <w:ilvl w:val="0"/>
          <w:numId w:val="52"/>
        </w:numPr>
      </w:pPr>
      <w:r>
        <w:t xml:space="preserve">Supporting documents for the actual costs to justify that the amount of the lump sum was actually spent by the beneficiary on the predefined types of costs/ </w:t>
      </w:r>
      <w:proofErr w:type="gramStart"/>
      <w:r>
        <w:t>activities</w:t>
      </w:r>
      <w:r w:rsidR="06072BF6">
        <w:t>;</w:t>
      </w:r>
      <w:proofErr w:type="gramEnd"/>
    </w:p>
    <w:p w14:paraId="63352FA2" w14:textId="13B0277D" w:rsidR="005930BB" w:rsidRPr="005930BB" w:rsidRDefault="1D0B811D" w:rsidP="005930BB">
      <w:pPr>
        <w:numPr>
          <w:ilvl w:val="0"/>
          <w:numId w:val="52"/>
        </w:numPr>
      </w:pPr>
      <w:r>
        <w:t>The accounting system of beneficiaries.</w:t>
      </w:r>
    </w:p>
    <w:p w14:paraId="135D8B60" w14:textId="301ED4C7" w:rsidR="008666AB" w:rsidRPr="00EF72F8" w:rsidRDefault="6120AFF4" w:rsidP="00EF72F8">
      <w:pPr>
        <w:pStyle w:val="Heading2"/>
        <w:rPr>
          <w:b/>
          <w:bCs/>
          <w:color w:val="4472C4" w:themeColor="accent1"/>
        </w:rPr>
      </w:pPr>
      <w:bookmarkStart w:id="72" w:name="_Toc168350336"/>
      <w:r w:rsidRPr="00EF72F8">
        <w:rPr>
          <w:b/>
          <w:bCs/>
          <w:color w:val="4472C4" w:themeColor="accent1"/>
        </w:rPr>
        <w:t>6.4</w:t>
      </w:r>
      <w:r w:rsidR="008666AB" w:rsidRPr="00EF72F8">
        <w:rPr>
          <w:b/>
          <w:bCs/>
          <w:color w:val="4472C4" w:themeColor="accent1"/>
        </w:rPr>
        <w:tab/>
      </w:r>
      <w:r w:rsidRPr="007E47CE">
        <w:rPr>
          <w:b/>
          <w:bCs/>
          <w:color w:val="4472C4" w:themeColor="accent1"/>
        </w:rPr>
        <w:t xml:space="preserve">Verification </w:t>
      </w:r>
      <w:r w:rsidR="73E46D4E" w:rsidRPr="007E47CE">
        <w:rPr>
          <w:b/>
          <w:bCs/>
          <w:color w:val="4472C4" w:themeColor="accent1"/>
        </w:rPr>
        <w:t xml:space="preserve">of absence of double </w:t>
      </w:r>
      <w:r w:rsidR="3B7C7955" w:rsidRPr="007E47CE">
        <w:rPr>
          <w:b/>
          <w:bCs/>
          <w:color w:val="4472C4" w:themeColor="accent1"/>
        </w:rPr>
        <w:t>financing</w:t>
      </w:r>
      <w:r w:rsidR="73E46D4E" w:rsidRPr="007E47CE">
        <w:rPr>
          <w:b/>
          <w:bCs/>
          <w:color w:val="4472C4" w:themeColor="accent1"/>
        </w:rPr>
        <w:t xml:space="preserve"> </w:t>
      </w:r>
      <w:r w:rsidR="304DDFF5" w:rsidRPr="007E47CE">
        <w:rPr>
          <w:b/>
          <w:bCs/>
          <w:color w:val="4472C4" w:themeColor="accent1"/>
        </w:rPr>
        <w:t>when using SCOs</w:t>
      </w:r>
      <w:bookmarkEnd w:id="72"/>
    </w:p>
    <w:p w14:paraId="575B4DA4" w14:textId="4EC85FC7" w:rsidR="0084180E" w:rsidRDefault="2A171F4D" w:rsidP="5F60E5CE">
      <w:pPr>
        <w:pStyle w:val="Style3"/>
      </w:pPr>
      <w:r>
        <w:t xml:space="preserve">Absence of double </w:t>
      </w:r>
      <w:r w:rsidR="3B7C7955">
        <w:t>financing</w:t>
      </w:r>
      <w:r>
        <w:t xml:space="preserve"> within the same operation</w:t>
      </w:r>
    </w:p>
    <w:p w14:paraId="309AC89D" w14:textId="2674BD90" w:rsidR="007607FA" w:rsidRDefault="631ADAE6" w:rsidP="004E14C4">
      <w:r>
        <w:t xml:space="preserve">The aspect of double </w:t>
      </w:r>
      <w:r w:rsidR="3B7C7955">
        <w:t>financing</w:t>
      </w:r>
      <w:r>
        <w:t xml:space="preserve"> </w:t>
      </w:r>
      <w:proofErr w:type="gramStart"/>
      <w:r>
        <w:t>has to</w:t>
      </w:r>
      <w:proofErr w:type="gramEnd"/>
      <w:r>
        <w:t xml:space="preserve"> be </w:t>
      </w:r>
      <w:r w:rsidR="34BCA9E4">
        <w:t xml:space="preserve">addressed </w:t>
      </w:r>
      <w:r w:rsidR="74B7983C">
        <w:t>already from the design of the methodology</w:t>
      </w:r>
      <w:r w:rsidR="3B7C7955">
        <w:t xml:space="preserve"> by clearly </w:t>
      </w:r>
      <w:r w:rsidR="3B238D27">
        <w:t>distinguish</w:t>
      </w:r>
      <w:r w:rsidR="5B159E16">
        <w:t>ing</w:t>
      </w:r>
      <w:r w:rsidR="3B238D27">
        <w:t xml:space="preserve"> </w:t>
      </w:r>
      <w:r w:rsidR="6B90303E">
        <w:t>the</w:t>
      </w:r>
      <w:r w:rsidR="7C95F3DC">
        <w:t xml:space="preserve"> categories of costs covered by the SCO and those reimbursed using other forms of reimbursement</w:t>
      </w:r>
      <w:r w:rsidR="74B7983C">
        <w:t xml:space="preserve">. </w:t>
      </w:r>
      <w:r w:rsidR="6C2C4B13">
        <w:t>During management verifications</w:t>
      </w:r>
      <w:r w:rsidR="5CE2C583">
        <w:t xml:space="preserve"> and audits</w:t>
      </w:r>
      <w:r w:rsidR="6C2C4B13">
        <w:t xml:space="preserve">, </w:t>
      </w:r>
      <w:r w:rsidR="2A171F4D">
        <w:t>i</w:t>
      </w:r>
      <w:r w:rsidR="13846855">
        <w:t xml:space="preserve">n the case of a combination of SCOs, in addition to the checks required for the individual types of simplified costs described above, management verifications and audits need to confirm that all costs of the operation are declared only once. This includes checking that the methodologies applied ensure that no expenditure of an operation can be charged under more than one type of SCO and, if </w:t>
      </w:r>
      <w:proofErr w:type="gramStart"/>
      <w:r w:rsidR="13846855">
        <w:t>applicable,  cost</w:t>
      </w:r>
      <w:proofErr w:type="gramEnd"/>
      <w:r w:rsidR="13846855">
        <w:t xml:space="preserve"> </w:t>
      </w:r>
      <w:r w:rsidR="55D219D2">
        <w:t>category</w:t>
      </w:r>
      <w:r w:rsidR="004E14C4">
        <w:t xml:space="preserve"> </w:t>
      </w:r>
      <w:r w:rsidR="13846855">
        <w:t>(double declaration of costs, for instance both as direct and as indirect costs).</w:t>
      </w:r>
      <w:r w:rsidR="0B5DFD1C">
        <w:t xml:space="preserve"> </w:t>
      </w:r>
    </w:p>
    <w:p w14:paraId="092BB98C" w14:textId="0ED7674A" w:rsidR="004E14C4" w:rsidRPr="004E14C4" w:rsidRDefault="05FEEDD8" w:rsidP="004E14C4">
      <w:r>
        <w:t xml:space="preserve">The </w:t>
      </w:r>
      <w:r w:rsidR="63CB1DEB">
        <w:t>management verifications and audits should check as well that there</w:t>
      </w:r>
      <w:r w:rsidR="0B5DFD1C">
        <w:t xml:space="preserve"> is no double declaration of the same cost item, </w:t>
      </w:r>
      <w:r w:rsidR="59242D25">
        <w:t>i.e.,</w:t>
      </w:r>
      <w:r w:rsidR="0B5DFD1C">
        <w:t xml:space="preserve"> that the </w:t>
      </w:r>
      <w:r w:rsidR="59583338">
        <w:t>“</w:t>
      </w:r>
      <w:r w:rsidR="0B5DFD1C">
        <w:t>basis cost</w:t>
      </w:r>
      <w:r w:rsidR="6F94C631">
        <w:t>”</w:t>
      </w:r>
      <w:r w:rsidR="0B5DFD1C">
        <w:t xml:space="preserve"> or any other real costs do not include any cost item that normally falls under </w:t>
      </w:r>
      <w:r w:rsidR="3F268631">
        <w:t>a</w:t>
      </w:r>
      <w:r w:rsidR="0B5DFD1C">
        <w:t xml:space="preserve"> flat rate. For example, </w:t>
      </w:r>
      <w:r w:rsidR="155083F0">
        <w:t xml:space="preserve">accounting </w:t>
      </w:r>
      <w:r w:rsidR="0B5DFD1C">
        <w:t xml:space="preserve">costs covered by a flat rate for indirect costs </w:t>
      </w:r>
      <w:r w:rsidR="3EAD72E5">
        <w:t xml:space="preserve">according to </w:t>
      </w:r>
      <w:r w:rsidR="59242D25">
        <w:t>A</w:t>
      </w:r>
      <w:r w:rsidR="3EAD72E5">
        <w:t xml:space="preserve">rticle </w:t>
      </w:r>
      <w:r w:rsidR="59242D25">
        <w:t xml:space="preserve">54 </w:t>
      </w:r>
      <w:r w:rsidR="0B5DFD1C">
        <w:t xml:space="preserve">may not be included in another category of costs, </w:t>
      </w:r>
      <w:r w:rsidR="7A33AFEE">
        <w:t>such as</w:t>
      </w:r>
      <w:r w:rsidR="0B5DFD1C">
        <w:t xml:space="preserve"> direct costs for external expertise if they also </w:t>
      </w:r>
      <w:r w:rsidR="772F6A1A">
        <w:t>include accounting costs</w:t>
      </w:r>
      <w:r w:rsidR="0B5DFD1C">
        <w:t xml:space="preserve">, to avoid the risk of double </w:t>
      </w:r>
      <w:r w:rsidR="59242D25">
        <w:t>financing.</w:t>
      </w:r>
    </w:p>
    <w:p w14:paraId="7292F6A9" w14:textId="22D8B8E7" w:rsidR="0084180E" w:rsidRDefault="2A171F4D" w:rsidP="5F60E5CE">
      <w:pPr>
        <w:pStyle w:val="Style3"/>
      </w:pPr>
      <w:r>
        <w:t xml:space="preserve">Absence of double </w:t>
      </w:r>
      <w:r w:rsidR="7AB2C6C7">
        <w:t>financing</w:t>
      </w:r>
      <w:r>
        <w:t xml:space="preserve"> </w:t>
      </w:r>
      <w:r w:rsidR="4EFA491C">
        <w:t xml:space="preserve">from other EU </w:t>
      </w:r>
      <w:r w:rsidR="1DA6DD21">
        <w:t xml:space="preserve">funds, programmes, </w:t>
      </w:r>
      <w:r w:rsidR="2E4BFEB7">
        <w:t>instruments</w:t>
      </w:r>
    </w:p>
    <w:p w14:paraId="5EE9CC52" w14:textId="74BDE96A" w:rsidR="1D42BAEF" w:rsidRDefault="3B7A1566" w:rsidP="5F60E5CE">
      <w:r>
        <w:t xml:space="preserve">The absence of double funding can be tackled at different levels (programming, </w:t>
      </w:r>
      <w:proofErr w:type="gramStart"/>
      <w:r>
        <w:t>selection</w:t>
      </w:r>
      <w:proofErr w:type="gramEnd"/>
      <w:r>
        <w:t xml:space="preserve"> or implementation)</w:t>
      </w:r>
      <w:r w:rsidR="793F66EF">
        <w:t>;</w:t>
      </w:r>
      <w:r>
        <w:t xml:space="preserve"> Member States can design (and request from </w:t>
      </w:r>
      <w:r w:rsidR="13B0ABCC">
        <w:t>beneficiaries</w:t>
      </w:r>
      <w:r>
        <w:t xml:space="preserve"> to </w:t>
      </w:r>
      <w:r w:rsidR="2CF1DC1E">
        <w:t xml:space="preserve">implement) adequate measure for </w:t>
      </w:r>
      <w:r w:rsidR="7F4A7831">
        <w:t>avoiding</w:t>
      </w:r>
      <w:r w:rsidR="2CF1DC1E">
        <w:t xml:space="preserve"> double funding. In this section, we will present examples of measures to avoid double funding at each of these levels. </w:t>
      </w:r>
    </w:p>
    <w:p w14:paraId="73CA34CE" w14:textId="28DDB188" w:rsidR="17B7DC6A" w:rsidRPr="00BC02D9" w:rsidRDefault="095CEBFA" w:rsidP="5F60E5CE">
      <w:pPr>
        <w:rPr>
          <w:b/>
          <w:color w:val="4472C4" w:themeColor="accent1"/>
          <w:lang w:val="en-US"/>
        </w:rPr>
      </w:pPr>
      <w:r w:rsidRPr="00BC02D9">
        <w:rPr>
          <w:b/>
          <w:color w:val="4472C4" w:themeColor="accent1"/>
          <w:lang w:val="en-US"/>
        </w:rPr>
        <w:t xml:space="preserve">The Partnership Agreement needs to contain the coordination, </w:t>
      </w:r>
      <w:proofErr w:type="gramStart"/>
      <w:r w:rsidRPr="00BC02D9">
        <w:rPr>
          <w:b/>
          <w:color w:val="4472C4" w:themeColor="accent1"/>
          <w:lang w:val="en-US"/>
        </w:rPr>
        <w:t>demarcation</w:t>
      </w:r>
      <w:proofErr w:type="gramEnd"/>
      <w:r w:rsidRPr="00BC02D9">
        <w:rPr>
          <w:b/>
          <w:color w:val="4472C4" w:themeColor="accent1"/>
          <w:lang w:val="en-US"/>
        </w:rPr>
        <w:t xml:space="preserve"> and complementarities between the Funds and, where appropriate, coordination between national and regional </w:t>
      </w:r>
      <w:proofErr w:type="spellStart"/>
      <w:r w:rsidRPr="00BC02D9">
        <w:rPr>
          <w:b/>
          <w:color w:val="4472C4" w:themeColor="accent1"/>
          <w:lang w:val="en-US"/>
        </w:rPr>
        <w:t>programmes</w:t>
      </w:r>
      <w:proofErr w:type="spellEnd"/>
      <w:r w:rsidRPr="00BC02D9">
        <w:rPr>
          <w:b/>
          <w:color w:val="4472C4" w:themeColor="accent1"/>
          <w:lang w:val="en-US"/>
        </w:rPr>
        <w:t xml:space="preserve">. </w:t>
      </w:r>
    </w:p>
    <w:tbl>
      <w:tblPr>
        <w:tblStyle w:val="GridTable4-Accent1"/>
        <w:tblW w:w="0" w:type="auto"/>
        <w:tblLook w:val="04A0" w:firstRow="1" w:lastRow="0" w:firstColumn="1" w:lastColumn="0" w:noHBand="0" w:noVBand="1"/>
      </w:tblPr>
      <w:tblGrid>
        <w:gridCol w:w="9016"/>
      </w:tblGrid>
      <w:tr w:rsidR="06CD0E6E" w14:paraId="0424DB73" w14:textId="77777777" w:rsidTr="5F60E5C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16" w:type="dxa"/>
          </w:tcPr>
          <w:p w14:paraId="047E9BB3" w14:textId="739D72C0" w:rsidR="17B7DC6A" w:rsidRDefault="17B7DC6A" w:rsidP="00BC02D9">
            <w:pPr>
              <w:spacing w:after="240" w:line="276" w:lineRule="auto"/>
            </w:pPr>
            <w:r>
              <w:t xml:space="preserve">Example 1: Clear demarcation </w:t>
            </w:r>
          </w:p>
        </w:tc>
      </w:tr>
      <w:tr w:rsidR="06CD0E6E" w14:paraId="3F0B7407" w14:textId="77777777" w:rsidTr="5F60E5C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16" w:type="dxa"/>
          </w:tcPr>
          <w:p w14:paraId="6E7037F7" w14:textId="0C9E9E23" w:rsidR="17B7DC6A" w:rsidRPr="00263DFD" w:rsidRDefault="35D57F6D" w:rsidP="00680F0B">
            <w:pPr>
              <w:spacing w:line="276" w:lineRule="auto"/>
              <w:rPr>
                <w:rFonts w:ascii="Calibri" w:eastAsia="Calibri" w:hAnsi="Calibri" w:cs="Calibri"/>
                <w:b w:val="0"/>
                <w:lang w:val="en-US"/>
              </w:rPr>
            </w:pPr>
            <w:r w:rsidRPr="00BC02D9">
              <w:rPr>
                <w:b w:val="0"/>
                <w:bCs w:val="0"/>
                <w:lang w:val="en-US"/>
              </w:rPr>
              <w:t>The Partnership Agreement describes</w:t>
            </w:r>
            <w:r w:rsidR="00210B0B" w:rsidRPr="4A1CDC15">
              <w:rPr>
                <w:b w:val="0"/>
                <w:lang w:val="en-US"/>
              </w:rPr>
              <w:t xml:space="preserve"> that</w:t>
            </w:r>
            <w:r w:rsidRPr="4A1CDC15">
              <w:rPr>
                <w:lang w:val="en-US"/>
              </w:rPr>
              <w:t xml:space="preserve"> </w:t>
            </w:r>
            <w:r w:rsidRPr="00BC02D9">
              <w:rPr>
                <w:color w:val="4472C4" w:themeColor="accent1"/>
                <w:lang w:val="en-US"/>
              </w:rPr>
              <w:t xml:space="preserve">in the respective </w:t>
            </w:r>
            <w:r w:rsidRPr="4A1CDC15">
              <w:rPr>
                <w:color w:val="4472C4" w:themeColor="accent1"/>
                <w:lang w:val="en-US"/>
              </w:rPr>
              <w:t>M</w:t>
            </w:r>
            <w:r w:rsidR="00680F0B" w:rsidRPr="4A1CDC15">
              <w:rPr>
                <w:color w:val="4472C4" w:themeColor="accent1"/>
                <w:lang w:val="en-US"/>
              </w:rPr>
              <w:t xml:space="preserve">ember </w:t>
            </w:r>
            <w:r w:rsidRPr="4A1CDC15">
              <w:rPr>
                <w:color w:val="4472C4" w:themeColor="accent1"/>
                <w:lang w:val="en-US"/>
              </w:rPr>
              <w:t>S</w:t>
            </w:r>
            <w:r w:rsidR="00680F0B" w:rsidRPr="4A1CDC15">
              <w:rPr>
                <w:color w:val="4472C4" w:themeColor="accent1"/>
                <w:lang w:val="en-US"/>
              </w:rPr>
              <w:t>tate</w:t>
            </w:r>
            <w:r w:rsidRPr="4A1CDC15">
              <w:rPr>
                <w:color w:val="4472C4" w:themeColor="accent1"/>
                <w:lang w:val="en-US"/>
              </w:rPr>
              <w:t xml:space="preserve"> </w:t>
            </w:r>
            <w:proofErr w:type="spellStart"/>
            <w:r w:rsidR="00B1241D">
              <w:rPr>
                <w:color w:val="4472C4" w:themeColor="accent1"/>
                <w:lang w:val="en-US"/>
              </w:rPr>
              <w:t>p</w:t>
            </w:r>
            <w:r w:rsidRPr="00BC02D9">
              <w:rPr>
                <w:color w:val="4472C4" w:themeColor="accent1"/>
                <w:lang w:val="en-US"/>
              </w:rPr>
              <w:t>rogramme</w:t>
            </w:r>
            <w:proofErr w:type="spellEnd"/>
            <w:r w:rsidRPr="00BC02D9">
              <w:rPr>
                <w:color w:val="4472C4" w:themeColor="accent1"/>
                <w:lang w:val="en-US"/>
              </w:rPr>
              <w:t xml:space="preserve"> X will finance national roads while </w:t>
            </w:r>
            <w:proofErr w:type="spellStart"/>
            <w:r w:rsidR="00B1241D">
              <w:rPr>
                <w:color w:val="4472C4" w:themeColor="accent1"/>
                <w:lang w:val="en-US"/>
              </w:rPr>
              <w:t>p</w:t>
            </w:r>
            <w:r w:rsidRPr="00BC02D9">
              <w:rPr>
                <w:color w:val="4472C4" w:themeColor="accent1"/>
                <w:lang w:val="en-US"/>
              </w:rPr>
              <w:t>rogramme</w:t>
            </w:r>
            <w:proofErr w:type="spellEnd"/>
            <w:r w:rsidRPr="00BC02D9">
              <w:rPr>
                <w:color w:val="4472C4" w:themeColor="accent1"/>
                <w:lang w:val="en-US"/>
              </w:rPr>
              <w:t xml:space="preserve"> Y will finance country roads or there is a clear geographical </w:t>
            </w:r>
            <w:r w:rsidRPr="4A1CDC15">
              <w:rPr>
                <w:color w:val="4472C4" w:themeColor="accent1"/>
                <w:lang w:val="en-US"/>
              </w:rPr>
              <w:t>delimitation</w:t>
            </w:r>
            <w:r w:rsidR="00E652DC" w:rsidRPr="4A1CDC15">
              <w:rPr>
                <w:color w:val="4472C4" w:themeColor="accent1"/>
                <w:lang w:val="en-US"/>
              </w:rPr>
              <w:t>.</w:t>
            </w:r>
          </w:p>
        </w:tc>
      </w:tr>
    </w:tbl>
    <w:p w14:paraId="0E7522C5" w14:textId="1B933532" w:rsidR="06CD0E6E" w:rsidRDefault="01857583" w:rsidP="00BC02D9">
      <w:pPr>
        <w:rPr>
          <w:rFonts w:ascii="Calibri" w:eastAsia="Calibri" w:hAnsi="Calibri" w:cs="Calibri"/>
          <w:sz w:val="22"/>
          <w:szCs w:val="22"/>
          <w:lang w:val="en-US"/>
        </w:rPr>
      </w:pPr>
      <w:r w:rsidRPr="00BC02D9">
        <w:rPr>
          <w:lang w:val="en-US"/>
        </w:rPr>
        <w:t xml:space="preserve">In cases where the Partnership agreement does not contain a clear delimitation, then </w:t>
      </w:r>
      <w:r w:rsidRPr="00BC02D9">
        <w:rPr>
          <w:b/>
          <w:color w:val="4472C4" w:themeColor="accent1"/>
          <w:lang w:val="en-US"/>
        </w:rPr>
        <w:t xml:space="preserve">adequate measures need to be put in place at the level of </w:t>
      </w:r>
      <w:r w:rsidRPr="00D53B37">
        <w:rPr>
          <w:b/>
          <w:color w:val="4472C4" w:themeColor="accent1"/>
          <w:lang w:val="en-US"/>
        </w:rPr>
        <w:t>the M</w:t>
      </w:r>
      <w:r w:rsidR="00D53B37">
        <w:rPr>
          <w:b/>
          <w:color w:val="4472C4" w:themeColor="accent1"/>
          <w:lang w:val="en-US"/>
        </w:rPr>
        <w:t xml:space="preserve">ember </w:t>
      </w:r>
      <w:r w:rsidRPr="00D53B37">
        <w:rPr>
          <w:b/>
          <w:color w:val="4472C4" w:themeColor="accent1"/>
          <w:lang w:val="en-US"/>
        </w:rPr>
        <w:t>S</w:t>
      </w:r>
      <w:r w:rsidR="00D53B37">
        <w:rPr>
          <w:b/>
          <w:color w:val="4472C4" w:themeColor="accent1"/>
          <w:lang w:val="en-US"/>
        </w:rPr>
        <w:t>tate</w:t>
      </w:r>
      <w:r w:rsidRPr="00D53B37">
        <w:rPr>
          <w:b/>
          <w:color w:val="4472C4" w:themeColor="accent1"/>
          <w:lang w:val="en-US"/>
        </w:rPr>
        <w:t xml:space="preserve"> to av</w:t>
      </w:r>
      <w:r w:rsidRPr="00BC02D9">
        <w:rPr>
          <w:b/>
          <w:color w:val="4472C4" w:themeColor="accent1"/>
          <w:lang w:val="en-US"/>
        </w:rPr>
        <w:t>oid double funding</w:t>
      </w:r>
      <w:r w:rsidRPr="00BC02D9">
        <w:rPr>
          <w:lang w:val="en-US"/>
        </w:rPr>
        <w:t xml:space="preserve">. </w:t>
      </w:r>
    </w:p>
    <w:tbl>
      <w:tblPr>
        <w:tblStyle w:val="GridTable4-Accent1"/>
        <w:tblW w:w="0" w:type="auto"/>
        <w:tblLook w:val="04A0" w:firstRow="1" w:lastRow="0" w:firstColumn="1" w:lastColumn="0" w:noHBand="0" w:noVBand="1"/>
      </w:tblPr>
      <w:tblGrid>
        <w:gridCol w:w="9016"/>
      </w:tblGrid>
      <w:tr w:rsidR="06CD0E6E" w14:paraId="5E44FC7D" w14:textId="77777777" w:rsidTr="5F60E5C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16" w:type="dxa"/>
          </w:tcPr>
          <w:p w14:paraId="7034FF15" w14:textId="6528EFA9" w:rsidR="69B220DD" w:rsidRDefault="69B220DD" w:rsidP="00BC02D9">
            <w:pPr>
              <w:spacing w:after="240" w:line="276" w:lineRule="auto"/>
            </w:pPr>
            <w:r>
              <w:t xml:space="preserve">Example 2: Verifications at selection stage </w:t>
            </w:r>
          </w:p>
        </w:tc>
      </w:tr>
      <w:tr w:rsidR="06CD0E6E" w14:paraId="796C747E" w14:textId="77777777" w:rsidTr="5F60E5C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16" w:type="dxa"/>
          </w:tcPr>
          <w:p w14:paraId="51ED2BD8" w14:textId="5EBD8CB9" w:rsidR="7FF1D361" w:rsidRPr="00BC02D9" w:rsidRDefault="2DE03FDE" w:rsidP="006518F4">
            <w:pPr>
              <w:spacing w:line="276" w:lineRule="auto"/>
              <w:rPr>
                <w:rFonts w:ascii="Calibri" w:eastAsia="Calibri" w:hAnsi="Calibri" w:cs="Calibri"/>
                <w:b w:val="0"/>
                <w:bCs w:val="0"/>
                <w:lang w:val="en-US"/>
              </w:rPr>
            </w:pPr>
            <w:r w:rsidRPr="006518F4">
              <w:rPr>
                <w:b w:val="0"/>
                <w:bCs w:val="0"/>
              </w:rPr>
              <w:t xml:space="preserve">The </w:t>
            </w:r>
            <w:r w:rsidR="00B155B3">
              <w:rPr>
                <w:b w:val="0"/>
                <w:bCs w:val="0"/>
              </w:rPr>
              <w:t>m</w:t>
            </w:r>
            <w:r w:rsidRPr="006518F4">
              <w:rPr>
                <w:b w:val="0"/>
                <w:bCs w:val="0"/>
              </w:rPr>
              <w:t xml:space="preserve">anaging </w:t>
            </w:r>
            <w:r w:rsidR="00B155B3">
              <w:rPr>
                <w:b w:val="0"/>
                <w:bCs w:val="0"/>
              </w:rPr>
              <w:t>a</w:t>
            </w:r>
            <w:r w:rsidRPr="006518F4">
              <w:rPr>
                <w:b w:val="0"/>
                <w:bCs w:val="0"/>
              </w:rPr>
              <w:t xml:space="preserve">uthority of a </w:t>
            </w:r>
            <w:r w:rsidR="00543942">
              <w:rPr>
                <w:b w:val="0"/>
                <w:bCs w:val="0"/>
              </w:rPr>
              <w:t>p</w:t>
            </w:r>
            <w:r w:rsidRPr="006518F4">
              <w:rPr>
                <w:b w:val="0"/>
                <w:bCs w:val="0"/>
              </w:rPr>
              <w:t xml:space="preserve">rogramme provides its list of operations proposed for selection to </w:t>
            </w:r>
            <w:r w:rsidR="3211CB09" w:rsidRPr="006518F4">
              <w:rPr>
                <w:b w:val="0"/>
                <w:bCs w:val="0"/>
              </w:rPr>
              <w:t xml:space="preserve">other </w:t>
            </w:r>
            <w:r w:rsidR="006518F4">
              <w:rPr>
                <w:b w:val="0"/>
                <w:bCs w:val="0"/>
              </w:rPr>
              <w:t>m</w:t>
            </w:r>
            <w:r w:rsidRPr="006518F4">
              <w:rPr>
                <w:b w:val="0"/>
                <w:bCs w:val="0"/>
              </w:rPr>
              <w:t xml:space="preserve">anaging </w:t>
            </w:r>
            <w:r w:rsidR="006518F4">
              <w:rPr>
                <w:b w:val="0"/>
                <w:bCs w:val="0"/>
              </w:rPr>
              <w:t>a</w:t>
            </w:r>
            <w:r w:rsidRPr="006518F4">
              <w:rPr>
                <w:b w:val="0"/>
                <w:bCs w:val="0"/>
              </w:rPr>
              <w:t xml:space="preserve">uthorities in the same Member State, asking them to compare to their own lists of selected </w:t>
            </w:r>
            <w:r w:rsidRPr="006518F4">
              <w:rPr>
                <w:b w:val="0"/>
                <w:bCs w:val="0"/>
              </w:rPr>
              <w:lastRenderedPageBreak/>
              <w:t>projects</w:t>
            </w:r>
            <w:r w:rsidR="19E74B75" w:rsidRPr="006518F4">
              <w:rPr>
                <w:b w:val="0"/>
                <w:bCs w:val="0"/>
              </w:rPr>
              <w:t xml:space="preserve"> </w:t>
            </w:r>
            <w:proofErr w:type="gramStart"/>
            <w:r w:rsidR="19E74B75" w:rsidRPr="006518F4">
              <w:rPr>
                <w:b w:val="0"/>
                <w:bCs w:val="0"/>
              </w:rPr>
              <w:t>in order to</w:t>
            </w:r>
            <w:proofErr w:type="gramEnd"/>
            <w:r w:rsidR="19E74B75" w:rsidRPr="006518F4">
              <w:rPr>
                <w:b w:val="0"/>
                <w:bCs w:val="0"/>
              </w:rPr>
              <w:t xml:space="preserve"> avoid clear overlaps (e</w:t>
            </w:r>
            <w:r w:rsidR="634D4111" w:rsidRPr="006518F4">
              <w:rPr>
                <w:b w:val="0"/>
                <w:bCs w:val="0"/>
              </w:rPr>
              <w:t>.</w:t>
            </w:r>
            <w:r w:rsidR="19E74B75" w:rsidRPr="006518F4">
              <w:rPr>
                <w:b w:val="0"/>
                <w:bCs w:val="0"/>
              </w:rPr>
              <w:t>g.</w:t>
            </w:r>
            <w:r w:rsidR="002E77E1">
              <w:rPr>
                <w:b w:val="0"/>
                <w:bCs w:val="0"/>
              </w:rPr>
              <w:t>,</w:t>
            </w:r>
            <w:r w:rsidR="19E74B75" w:rsidRPr="006518F4">
              <w:rPr>
                <w:b w:val="0"/>
                <w:bCs w:val="0"/>
              </w:rPr>
              <w:t xml:space="preserve"> </w:t>
            </w:r>
            <w:r w:rsidR="2253A1FB" w:rsidRPr="006518F4">
              <w:rPr>
                <w:b w:val="0"/>
                <w:bCs w:val="0"/>
              </w:rPr>
              <w:t>s</w:t>
            </w:r>
            <w:r w:rsidR="19E74B75" w:rsidRPr="006518F4">
              <w:rPr>
                <w:b w:val="0"/>
                <w:bCs w:val="0"/>
              </w:rPr>
              <w:t xml:space="preserve">ame local authority </w:t>
            </w:r>
            <w:r w:rsidR="36E46786" w:rsidRPr="006518F4">
              <w:rPr>
                <w:b w:val="0"/>
                <w:bCs w:val="0"/>
              </w:rPr>
              <w:t>receives</w:t>
            </w:r>
            <w:r w:rsidR="19E74B75" w:rsidRPr="006518F4">
              <w:rPr>
                <w:b w:val="0"/>
                <w:bCs w:val="0"/>
              </w:rPr>
              <w:t xml:space="preserve"> grants from </w:t>
            </w:r>
            <w:r w:rsidR="002E77E1">
              <w:rPr>
                <w:b w:val="0"/>
                <w:bCs w:val="0"/>
              </w:rPr>
              <w:t>two</w:t>
            </w:r>
            <w:r w:rsidR="002E77E1" w:rsidRPr="006518F4">
              <w:rPr>
                <w:b w:val="0"/>
                <w:bCs w:val="0"/>
              </w:rPr>
              <w:t xml:space="preserve"> </w:t>
            </w:r>
            <w:r w:rsidR="19E74B75" w:rsidRPr="006518F4">
              <w:rPr>
                <w:b w:val="0"/>
                <w:bCs w:val="0"/>
              </w:rPr>
              <w:t>sources to consolidate the same segment of the shore of a river).</w:t>
            </w:r>
            <w:r w:rsidR="19E74B75" w:rsidRPr="006518F4">
              <w:rPr>
                <w:rFonts w:ascii="Calibri" w:eastAsia="Calibri" w:hAnsi="Calibri" w:cs="Calibri"/>
                <w:color w:val="2B579A"/>
                <w:lang w:val="en-US"/>
              </w:rPr>
              <w:t xml:space="preserve"> </w:t>
            </w:r>
          </w:p>
        </w:tc>
      </w:tr>
    </w:tbl>
    <w:p w14:paraId="1DAE77FE" w14:textId="45E60B74" w:rsidR="06CD0E6E" w:rsidRDefault="06CD0E6E" w:rsidP="06CD0E6E">
      <w:pPr>
        <w:spacing w:before="0" w:after="160" w:line="257" w:lineRule="auto"/>
        <w:rPr>
          <w:rFonts w:ascii="Calibri" w:eastAsia="Calibri" w:hAnsi="Calibri" w:cs="Calibri"/>
          <w:sz w:val="22"/>
          <w:szCs w:val="22"/>
          <w:lang w:val="en-US"/>
        </w:rPr>
      </w:pPr>
    </w:p>
    <w:tbl>
      <w:tblPr>
        <w:tblStyle w:val="GridTable4-Accent1"/>
        <w:tblW w:w="0" w:type="auto"/>
        <w:tblLook w:val="04A0" w:firstRow="1" w:lastRow="0" w:firstColumn="1" w:lastColumn="0" w:noHBand="0" w:noVBand="1"/>
      </w:tblPr>
      <w:tblGrid>
        <w:gridCol w:w="9016"/>
      </w:tblGrid>
      <w:tr w:rsidR="06CD0E6E" w14:paraId="62EA0944" w14:textId="77777777" w:rsidTr="5F60E5C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16" w:type="dxa"/>
          </w:tcPr>
          <w:p w14:paraId="1E680F5C" w14:textId="37D7B413" w:rsidR="06CD0E6E" w:rsidRDefault="06CD0E6E" w:rsidP="06CD0E6E">
            <w:pPr>
              <w:spacing w:after="240" w:line="276" w:lineRule="auto"/>
            </w:pPr>
            <w:r>
              <w:t xml:space="preserve">Example </w:t>
            </w:r>
            <w:r w:rsidR="3EDFFDFC">
              <w:t>3</w:t>
            </w:r>
            <w:r>
              <w:t xml:space="preserve">: </w:t>
            </w:r>
            <w:r w:rsidR="02F74A51">
              <w:t>Thematic verifications by the Managing Authorities</w:t>
            </w:r>
          </w:p>
        </w:tc>
      </w:tr>
      <w:tr w:rsidR="06CD0E6E" w14:paraId="0667B42E" w14:textId="77777777" w:rsidTr="5F60E5C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16" w:type="dxa"/>
          </w:tcPr>
          <w:p w14:paraId="4D21BF27" w14:textId="60B597A0" w:rsidR="02F74A51" w:rsidRPr="00BC02D9" w:rsidRDefault="320AD92D" w:rsidP="06CD0E6E">
            <w:pPr>
              <w:spacing w:line="276" w:lineRule="auto"/>
              <w:rPr>
                <w:rFonts w:ascii="Calibri" w:eastAsia="Calibri" w:hAnsi="Calibri" w:cs="Calibri"/>
                <w:b w:val="0"/>
                <w:bCs w:val="0"/>
                <w:lang w:val="en-US"/>
              </w:rPr>
            </w:pPr>
            <w:r w:rsidRPr="001C555E">
              <w:rPr>
                <w:b w:val="0"/>
                <w:bCs w:val="0"/>
              </w:rPr>
              <w:t>The Coordinating Body in a M</w:t>
            </w:r>
            <w:r w:rsidR="002E77E1">
              <w:rPr>
                <w:b w:val="0"/>
                <w:bCs w:val="0"/>
              </w:rPr>
              <w:t xml:space="preserve">ember </w:t>
            </w:r>
            <w:r w:rsidRPr="001C555E">
              <w:rPr>
                <w:b w:val="0"/>
                <w:bCs w:val="0"/>
              </w:rPr>
              <w:t>S</w:t>
            </w:r>
            <w:r w:rsidR="002E77E1">
              <w:rPr>
                <w:b w:val="0"/>
                <w:bCs w:val="0"/>
              </w:rPr>
              <w:t>tate</w:t>
            </w:r>
            <w:r w:rsidRPr="001C555E">
              <w:rPr>
                <w:b w:val="0"/>
                <w:bCs w:val="0"/>
              </w:rPr>
              <w:t xml:space="preserve"> creates an AI tool which compares the lists of operations from </w:t>
            </w:r>
            <w:r w:rsidR="001C555E">
              <w:rPr>
                <w:b w:val="0"/>
                <w:bCs w:val="0"/>
              </w:rPr>
              <w:t>p</w:t>
            </w:r>
            <w:r w:rsidRPr="001C555E">
              <w:rPr>
                <w:b w:val="0"/>
                <w:bCs w:val="0"/>
              </w:rPr>
              <w:t xml:space="preserve">rogrammes presenting </w:t>
            </w:r>
            <w:r w:rsidR="6841A220" w:rsidRPr="001C555E">
              <w:rPr>
                <w:b w:val="0"/>
                <w:bCs w:val="0"/>
              </w:rPr>
              <w:t xml:space="preserve">overlaps in areas of financing and scans for similar beneficiaries and description of operations. In case of matches, it alerts the staff of the respective </w:t>
            </w:r>
            <w:r w:rsidR="001C555E">
              <w:rPr>
                <w:b w:val="0"/>
                <w:bCs w:val="0"/>
              </w:rPr>
              <w:t>m</w:t>
            </w:r>
            <w:r w:rsidR="6841A220" w:rsidRPr="001C555E">
              <w:rPr>
                <w:b w:val="0"/>
                <w:bCs w:val="0"/>
              </w:rPr>
              <w:t xml:space="preserve">anaging </w:t>
            </w:r>
            <w:r w:rsidR="001C555E">
              <w:rPr>
                <w:b w:val="0"/>
                <w:bCs w:val="0"/>
              </w:rPr>
              <w:t>a</w:t>
            </w:r>
            <w:r w:rsidR="6841A220" w:rsidRPr="001C555E">
              <w:rPr>
                <w:b w:val="0"/>
                <w:bCs w:val="0"/>
              </w:rPr>
              <w:t xml:space="preserve">uthorities who </w:t>
            </w:r>
            <w:r w:rsidR="2EB0CB1F" w:rsidRPr="001C555E">
              <w:rPr>
                <w:b w:val="0"/>
                <w:bCs w:val="0"/>
              </w:rPr>
              <w:t>proceeds to additional checks</w:t>
            </w:r>
            <w:r w:rsidR="257A1DB8" w:rsidRPr="001C555E">
              <w:rPr>
                <w:b w:val="0"/>
                <w:bCs w:val="0"/>
              </w:rPr>
              <w:t xml:space="preserve"> </w:t>
            </w:r>
            <w:proofErr w:type="gramStart"/>
            <w:r w:rsidR="257A1DB8" w:rsidRPr="001C555E">
              <w:rPr>
                <w:b w:val="0"/>
                <w:bCs w:val="0"/>
              </w:rPr>
              <w:t>in order to</w:t>
            </w:r>
            <w:proofErr w:type="gramEnd"/>
            <w:r w:rsidR="257A1DB8" w:rsidRPr="001C555E">
              <w:rPr>
                <w:b w:val="0"/>
                <w:bCs w:val="0"/>
              </w:rPr>
              <w:t xml:space="preserve"> avoid double funding</w:t>
            </w:r>
            <w:r w:rsidR="2EB0CB1F" w:rsidRPr="001C555E">
              <w:rPr>
                <w:b w:val="0"/>
                <w:bCs w:val="0"/>
              </w:rPr>
              <w:t>.</w:t>
            </w:r>
            <w:r w:rsidR="2EB0CB1F" w:rsidRPr="001C555E">
              <w:rPr>
                <w:rFonts w:ascii="Calibri" w:eastAsia="Calibri" w:hAnsi="Calibri" w:cs="Calibri"/>
                <w:color w:val="2B579A"/>
                <w:lang w:val="en-US"/>
              </w:rPr>
              <w:t xml:space="preserve"> </w:t>
            </w:r>
          </w:p>
        </w:tc>
      </w:tr>
    </w:tbl>
    <w:p w14:paraId="4752665C" w14:textId="36ECECF4" w:rsidR="06CD0E6E" w:rsidRDefault="00D27A6F" w:rsidP="06CD0E6E">
      <w:r>
        <w:t xml:space="preserve">According to article </w:t>
      </w:r>
      <w:r w:rsidR="00B62347">
        <w:t>63(9)</w:t>
      </w:r>
      <w:r w:rsidR="00E04D44">
        <w:t xml:space="preserve"> CPR</w:t>
      </w:r>
      <w:r w:rsidR="00B62347">
        <w:t xml:space="preserve">, the operation may receive support from one </w:t>
      </w:r>
      <w:r w:rsidR="00730443" w:rsidRPr="00730443">
        <w:t>or more Funds or from one or more programmes and from other Union instruments</w:t>
      </w:r>
      <w:r w:rsidR="00730443">
        <w:t xml:space="preserve">, </w:t>
      </w:r>
      <w:proofErr w:type="gramStart"/>
      <w:r w:rsidR="00730443">
        <w:t>as long as</w:t>
      </w:r>
      <w:proofErr w:type="gramEnd"/>
      <w:r w:rsidR="00730443">
        <w:t xml:space="preserve"> </w:t>
      </w:r>
      <w:r w:rsidR="00687050">
        <w:t xml:space="preserve">the </w:t>
      </w:r>
      <w:r w:rsidR="0009666F">
        <w:t xml:space="preserve">same </w:t>
      </w:r>
      <w:r w:rsidR="00687050">
        <w:t xml:space="preserve">expenditure is </w:t>
      </w:r>
      <w:r w:rsidR="005A59C4">
        <w:t>declared</w:t>
      </w:r>
      <w:r w:rsidR="00E023D1">
        <w:t xml:space="preserve"> only once</w:t>
      </w:r>
      <w:r w:rsidR="00700E2A">
        <w:t>.</w:t>
      </w:r>
      <w:r w:rsidR="00E023D1">
        <w:t xml:space="preserve"> </w:t>
      </w:r>
      <w:r w:rsidR="00A879CB" w:rsidRPr="00BC02D9">
        <w:rPr>
          <w:b/>
          <w:color w:val="4472C4" w:themeColor="accent1"/>
          <w:lang w:val="en-US"/>
        </w:rPr>
        <w:t xml:space="preserve">The absence of double financing </w:t>
      </w:r>
      <w:proofErr w:type="gramStart"/>
      <w:r w:rsidR="00A879CB" w:rsidRPr="00BC02D9">
        <w:rPr>
          <w:b/>
          <w:color w:val="4472C4" w:themeColor="accent1"/>
          <w:lang w:val="en-US"/>
        </w:rPr>
        <w:t>has to</w:t>
      </w:r>
      <w:proofErr w:type="gramEnd"/>
      <w:r w:rsidR="00A879CB" w:rsidRPr="00BC02D9">
        <w:rPr>
          <w:b/>
          <w:color w:val="4472C4" w:themeColor="accent1"/>
          <w:lang w:val="en-US"/>
        </w:rPr>
        <w:t xml:space="preserve"> be </w:t>
      </w:r>
      <w:r w:rsidR="00F55EF3" w:rsidRPr="00BC02D9">
        <w:rPr>
          <w:b/>
          <w:color w:val="4472C4" w:themeColor="accent1"/>
          <w:lang w:val="en-US"/>
        </w:rPr>
        <w:t xml:space="preserve">ensured and checked even </w:t>
      </w:r>
      <w:r w:rsidR="00AA6B88" w:rsidRPr="00BC02D9">
        <w:rPr>
          <w:b/>
          <w:color w:val="4472C4" w:themeColor="accent1"/>
          <w:lang w:val="en-US"/>
        </w:rPr>
        <w:t xml:space="preserve">when the reimbursement towards the beneficiaries takes the form of </w:t>
      </w:r>
      <w:r w:rsidR="00A879CB" w:rsidRPr="00BC02D9">
        <w:rPr>
          <w:b/>
          <w:color w:val="4472C4" w:themeColor="accent1"/>
          <w:lang w:val="en-US"/>
        </w:rPr>
        <w:t xml:space="preserve">simplified cost </w:t>
      </w:r>
      <w:r w:rsidR="00AA6B88" w:rsidRPr="00BC02D9">
        <w:rPr>
          <w:b/>
          <w:color w:val="4472C4" w:themeColor="accent1"/>
          <w:lang w:val="en-US"/>
        </w:rPr>
        <w:t>options.</w:t>
      </w:r>
    </w:p>
    <w:tbl>
      <w:tblPr>
        <w:tblStyle w:val="GridTable4-Accent1"/>
        <w:tblW w:w="0" w:type="auto"/>
        <w:tblLook w:val="04A0" w:firstRow="1" w:lastRow="0" w:firstColumn="1" w:lastColumn="0" w:noHBand="0" w:noVBand="1"/>
      </w:tblPr>
      <w:tblGrid>
        <w:gridCol w:w="9016"/>
      </w:tblGrid>
      <w:tr w:rsidR="06CD0E6E" w14:paraId="7AAD442E" w14:textId="77777777" w:rsidTr="5F60E5C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16" w:type="dxa"/>
          </w:tcPr>
          <w:p w14:paraId="5B6B982A" w14:textId="31500FFE" w:rsidR="06CD0E6E" w:rsidRDefault="34639890" w:rsidP="5F60E5CE">
            <w:pPr>
              <w:spacing w:after="240" w:line="276" w:lineRule="auto"/>
              <w:rPr>
                <w:color w:val="4472C4" w:themeColor="accent1"/>
              </w:rPr>
            </w:pPr>
            <w:r w:rsidRPr="002C759A">
              <w:t xml:space="preserve">Example </w:t>
            </w:r>
            <w:r w:rsidR="5C8B1EC5" w:rsidRPr="002C759A">
              <w:t>4</w:t>
            </w:r>
            <w:r w:rsidRPr="002C759A">
              <w:t xml:space="preserve">: </w:t>
            </w:r>
            <w:r w:rsidR="00746DD1" w:rsidRPr="002C759A">
              <w:t>Checks at the level of the beneficiary</w:t>
            </w:r>
          </w:p>
        </w:tc>
      </w:tr>
      <w:tr w:rsidR="06CD0E6E" w14:paraId="36D8277A" w14:textId="77777777" w:rsidTr="5F60E5C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16" w:type="dxa"/>
          </w:tcPr>
          <w:p w14:paraId="0D02BBA1" w14:textId="2A548F84" w:rsidR="51443AC1" w:rsidRPr="00BC02D9" w:rsidRDefault="00746DD1" w:rsidP="002372A7">
            <w:pPr>
              <w:spacing w:line="276" w:lineRule="auto"/>
              <w:rPr>
                <w:color w:val="4472C4" w:themeColor="accent1"/>
                <w:lang w:val="en-US"/>
              </w:rPr>
            </w:pPr>
            <w:r w:rsidRPr="002372A7">
              <w:rPr>
                <w:b w:val="0"/>
                <w:bCs w:val="0"/>
              </w:rPr>
              <w:t xml:space="preserve">A </w:t>
            </w:r>
            <w:r w:rsidR="002C759A">
              <w:rPr>
                <w:b w:val="0"/>
                <w:bCs w:val="0"/>
              </w:rPr>
              <w:t>m</w:t>
            </w:r>
            <w:r w:rsidRPr="002372A7">
              <w:rPr>
                <w:b w:val="0"/>
                <w:bCs w:val="0"/>
              </w:rPr>
              <w:t xml:space="preserve">anaging </w:t>
            </w:r>
            <w:r w:rsidR="002C759A">
              <w:rPr>
                <w:b w:val="0"/>
                <w:bCs w:val="0"/>
              </w:rPr>
              <w:t>a</w:t>
            </w:r>
            <w:r w:rsidRPr="002372A7">
              <w:rPr>
                <w:b w:val="0"/>
                <w:bCs w:val="0"/>
              </w:rPr>
              <w:t>uthority performs management verifications at the level of a beneficiary.</w:t>
            </w:r>
            <w:r w:rsidR="4E0CFC08" w:rsidRPr="002372A7">
              <w:rPr>
                <w:b w:val="0"/>
                <w:bCs w:val="0"/>
              </w:rPr>
              <w:t xml:space="preserve"> The operation uses</w:t>
            </w:r>
            <w:r w:rsidR="7139A3AE" w:rsidRPr="002372A7">
              <w:rPr>
                <w:b w:val="0"/>
                <w:bCs w:val="0"/>
              </w:rPr>
              <w:t xml:space="preserve"> </w:t>
            </w:r>
            <w:r w:rsidR="36E46786" w:rsidRPr="002372A7">
              <w:rPr>
                <w:b w:val="0"/>
                <w:bCs w:val="0"/>
              </w:rPr>
              <w:t>the 40</w:t>
            </w:r>
            <w:r w:rsidR="7139A3AE" w:rsidRPr="002372A7">
              <w:rPr>
                <w:b w:val="0"/>
                <w:bCs w:val="0"/>
              </w:rPr>
              <w:t xml:space="preserve">% flat rate based on </w:t>
            </w:r>
            <w:r w:rsidR="442F7B3C" w:rsidRPr="002372A7">
              <w:rPr>
                <w:b w:val="0"/>
                <w:bCs w:val="0"/>
              </w:rPr>
              <w:t xml:space="preserve">direct </w:t>
            </w:r>
            <w:r w:rsidR="7139A3AE" w:rsidRPr="002372A7">
              <w:rPr>
                <w:b w:val="0"/>
                <w:bCs w:val="0"/>
              </w:rPr>
              <w:t xml:space="preserve">staff costs. As part of the </w:t>
            </w:r>
            <w:r w:rsidR="00E6630F">
              <w:rPr>
                <w:b w:val="0"/>
                <w:bCs w:val="0"/>
              </w:rPr>
              <w:t>m</w:t>
            </w:r>
            <w:r w:rsidR="442F7B3C" w:rsidRPr="002372A7">
              <w:rPr>
                <w:b w:val="0"/>
                <w:bCs w:val="0"/>
              </w:rPr>
              <w:t xml:space="preserve">anaging </w:t>
            </w:r>
            <w:r w:rsidR="00E6630F">
              <w:rPr>
                <w:b w:val="0"/>
                <w:bCs w:val="0"/>
              </w:rPr>
              <w:t>a</w:t>
            </w:r>
            <w:r w:rsidR="442F7B3C" w:rsidRPr="002372A7">
              <w:rPr>
                <w:b w:val="0"/>
                <w:bCs w:val="0"/>
              </w:rPr>
              <w:t>uthority checks</w:t>
            </w:r>
            <w:r w:rsidR="7139A3AE" w:rsidRPr="002372A7">
              <w:rPr>
                <w:b w:val="0"/>
                <w:bCs w:val="0"/>
              </w:rPr>
              <w:t xml:space="preserve">, the job description of </w:t>
            </w:r>
            <w:r w:rsidR="442F7B3C" w:rsidRPr="002372A7">
              <w:rPr>
                <w:b w:val="0"/>
                <w:bCs w:val="0"/>
              </w:rPr>
              <w:t xml:space="preserve">a person </w:t>
            </w:r>
            <w:r w:rsidR="7139A3AE" w:rsidRPr="002372A7">
              <w:rPr>
                <w:b w:val="0"/>
                <w:bCs w:val="0"/>
              </w:rPr>
              <w:t xml:space="preserve">is verified. The job description contains a mention that 100% of the activities performed by the respective </w:t>
            </w:r>
            <w:r w:rsidR="706DE3EE" w:rsidRPr="002372A7">
              <w:rPr>
                <w:b w:val="0"/>
                <w:bCs w:val="0"/>
              </w:rPr>
              <w:t>staff are for operations financed by ERDF, while the operation verified is financed via ESF</w:t>
            </w:r>
            <w:r w:rsidR="706DE3EE" w:rsidRPr="00BC02D9">
              <w:rPr>
                <w:b w:val="0"/>
                <w:bCs w:val="0"/>
              </w:rPr>
              <w:t>.</w:t>
            </w:r>
            <w:r w:rsidR="706DE3EE" w:rsidRPr="00BC02D9">
              <w:rPr>
                <w:color w:val="4472C4" w:themeColor="accent1"/>
                <w:lang w:val="en-US"/>
              </w:rPr>
              <w:t xml:space="preserve"> </w:t>
            </w:r>
          </w:p>
        </w:tc>
      </w:tr>
    </w:tbl>
    <w:p w14:paraId="1BD64C48" w14:textId="200AEDFD" w:rsidR="06CD0E6E" w:rsidRDefault="7AF272F8" w:rsidP="06CD0E6E">
      <w:r>
        <w:t>Ultimately</w:t>
      </w:r>
      <w:r w:rsidR="4F6B59C9">
        <w:t xml:space="preserve">, it is the </w:t>
      </w:r>
      <w:r w:rsidR="0514B961">
        <w:t>responsibility</w:t>
      </w:r>
      <w:r w:rsidR="4F6B59C9">
        <w:t xml:space="preserve"> of every Member </w:t>
      </w:r>
      <w:r w:rsidR="002372A7">
        <w:t>S</w:t>
      </w:r>
      <w:r w:rsidR="4F6B59C9">
        <w:t xml:space="preserve">tate to </w:t>
      </w:r>
      <w:r w:rsidR="4DB5710F">
        <w:t>design</w:t>
      </w:r>
      <w:r w:rsidR="4F6B59C9">
        <w:t xml:space="preserve"> and implement the necessary measures to </w:t>
      </w:r>
      <w:r w:rsidR="470BF708">
        <w:t>avoid</w:t>
      </w:r>
      <w:r w:rsidR="4F6B59C9">
        <w:t xml:space="preserve"> double funding.  Commission audits will </w:t>
      </w:r>
      <w:r w:rsidR="54EB9CF8">
        <w:t xml:space="preserve">focus </w:t>
      </w:r>
      <w:r w:rsidR="00FF4B1F">
        <w:t>on</w:t>
      </w:r>
      <w:r w:rsidR="54EB9CF8">
        <w:t xml:space="preserve"> </w:t>
      </w:r>
      <w:r w:rsidR="19CB1BB7">
        <w:t>ensur</w:t>
      </w:r>
      <w:r w:rsidR="00FF4B1F">
        <w:t>ing</w:t>
      </w:r>
      <w:r w:rsidR="19CB1BB7">
        <w:t xml:space="preserve"> that</w:t>
      </w:r>
      <w:r w:rsidR="4F6B59C9">
        <w:t xml:space="preserve"> such measures </w:t>
      </w:r>
      <w:r w:rsidR="00677F51">
        <w:t>are</w:t>
      </w:r>
      <w:r w:rsidR="4F6B59C9">
        <w:t xml:space="preserve"> in place</w:t>
      </w:r>
      <w:r w:rsidR="6DB443D7">
        <w:t xml:space="preserve"> and</w:t>
      </w:r>
      <w:r w:rsidR="00BA0429">
        <w:t>,</w:t>
      </w:r>
      <w:r w:rsidR="6DB443D7">
        <w:t xml:space="preserve"> where this is not the case</w:t>
      </w:r>
      <w:r w:rsidR="00BA0429">
        <w:t>,</w:t>
      </w:r>
      <w:r w:rsidR="6DB443D7">
        <w:t xml:space="preserve"> remedial actions </w:t>
      </w:r>
      <w:r w:rsidR="00BA0429">
        <w:t>are taken</w:t>
      </w:r>
      <w:r w:rsidR="032190F4">
        <w:t xml:space="preserve">. </w:t>
      </w:r>
    </w:p>
    <w:p w14:paraId="7C081B4B" w14:textId="3EFCE5F7" w:rsidR="00DB6A62" w:rsidRDefault="004E2360" w:rsidP="00CA39E2">
      <w:r>
        <w:t>Management verifications and audits</w:t>
      </w:r>
      <w:r w:rsidR="00366A36">
        <w:t xml:space="preserve"> might </w:t>
      </w:r>
      <w:r w:rsidR="00CA39E2">
        <w:t>include searching in the</w:t>
      </w:r>
      <w:r w:rsidR="00817A55">
        <w:t xml:space="preserve"> </w:t>
      </w:r>
      <w:r w:rsidR="007C21A9">
        <w:t>national or European databases</w:t>
      </w:r>
      <w:r w:rsidR="00CA39E2">
        <w:t xml:space="preserve"> and checks on the publicity measures </w:t>
      </w:r>
      <w:r w:rsidR="00BC16B5">
        <w:t>taken by the beneficiaries on their websites and locations.</w:t>
      </w:r>
      <w:r w:rsidR="00484B52">
        <w:t xml:space="preserve"> </w:t>
      </w:r>
      <w:r w:rsidR="00AE1E91">
        <w:t>Self-declarations</w:t>
      </w:r>
      <w:r w:rsidR="00484B52">
        <w:t xml:space="preserve"> from beneficiaries </w:t>
      </w:r>
      <w:r w:rsidR="00DB76D9">
        <w:t xml:space="preserve">that they will not </w:t>
      </w:r>
      <w:r w:rsidR="003811C6">
        <w:t>ask for financing for the same type of activities from other funds</w:t>
      </w:r>
      <w:r w:rsidR="006709E8">
        <w:t xml:space="preserve"> may be used if corroborated with additional </w:t>
      </w:r>
      <w:r w:rsidR="0016518B">
        <w:t>sources of information</w:t>
      </w:r>
      <w:r w:rsidR="003811C6">
        <w:t>.</w:t>
      </w:r>
      <w:r w:rsidR="00BC16B5">
        <w:t xml:space="preserve"> In case of </w:t>
      </w:r>
      <w:r w:rsidR="00AE1E91">
        <w:t>doubts</w:t>
      </w:r>
      <w:r w:rsidR="00BC16B5">
        <w:t>, the managing and audit authorities are to perform more in-depth checks</w:t>
      </w:r>
      <w:r w:rsidR="0079388E">
        <w:t xml:space="preserve"> and </w:t>
      </w:r>
      <w:r w:rsidR="00552358">
        <w:t>gather</w:t>
      </w:r>
      <w:r w:rsidR="00FD1112">
        <w:t xml:space="preserve"> </w:t>
      </w:r>
      <w:r w:rsidR="00552358">
        <w:t>additional</w:t>
      </w:r>
      <w:r w:rsidR="00FD1112">
        <w:t xml:space="preserve"> information from the beneficiaries</w:t>
      </w:r>
      <w:r w:rsidR="00BC16B5">
        <w:t xml:space="preserve">. </w:t>
      </w:r>
    </w:p>
    <w:tbl>
      <w:tblPr>
        <w:tblStyle w:val="GridTable4-Accent1"/>
        <w:tblW w:w="0" w:type="auto"/>
        <w:tblLook w:val="04A0" w:firstRow="1" w:lastRow="0" w:firstColumn="1" w:lastColumn="0" w:noHBand="0" w:noVBand="1"/>
      </w:tblPr>
      <w:tblGrid>
        <w:gridCol w:w="9016"/>
      </w:tblGrid>
      <w:tr w:rsidR="00380DF5" w14:paraId="6E48C7A3" w14:textId="77777777" w:rsidTr="5F60E5C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16" w:type="dxa"/>
          </w:tcPr>
          <w:p w14:paraId="74C6160C" w14:textId="7CD4DC7B" w:rsidR="00380DF5" w:rsidRPr="00BA4812" w:rsidRDefault="521DA191" w:rsidP="00F71A11">
            <w:pPr>
              <w:spacing w:after="240"/>
            </w:pPr>
            <w:r>
              <w:t xml:space="preserve">Example </w:t>
            </w:r>
            <w:r w:rsidR="008255F6">
              <w:t>5</w:t>
            </w:r>
            <w:r>
              <w:t>: Suspicion of double financing</w:t>
            </w:r>
          </w:p>
        </w:tc>
      </w:tr>
      <w:tr w:rsidR="00380DF5" w14:paraId="0FEC5874" w14:textId="77777777" w:rsidTr="5F60E5C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16" w:type="dxa"/>
          </w:tcPr>
          <w:p w14:paraId="4F3DC646" w14:textId="03976425" w:rsidR="00380DF5" w:rsidRDefault="1696D4E9" w:rsidP="00F71A11">
            <w:pPr>
              <w:rPr>
                <w:b w:val="0"/>
              </w:rPr>
            </w:pPr>
            <w:r>
              <w:rPr>
                <w:b w:val="0"/>
                <w:bCs w:val="0"/>
              </w:rPr>
              <w:t>At the level of one beneficiary two projects</w:t>
            </w:r>
            <w:r w:rsidR="005100B3">
              <w:rPr>
                <w:b w:val="0"/>
                <w:bCs w:val="0"/>
              </w:rPr>
              <w:t xml:space="preserve"> related to</w:t>
            </w:r>
            <w:r w:rsidR="00780366">
              <w:rPr>
                <w:b w:val="0"/>
                <w:bCs w:val="0"/>
              </w:rPr>
              <w:t xml:space="preserve"> the </w:t>
            </w:r>
            <w:r w:rsidR="00626140">
              <w:rPr>
                <w:b w:val="0"/>
                <w:bCs w:val="0"/>
              </w:rPr>
              <w:t>creation of a bicycle lane</w:t>
            </w:r>
            <w:r w:rsidR="2D55C924">
              <w:rPr>
                <w:b w:val="0"/>
                <w:bCs w:val="0"/>
              </w:rPr>
              <w:t xml:space="preserve"> were identified</w:t>
            </w:r>
            <w:r w:rsidR="777F1FF7">
              <w:rPr>
                <w:b w:val="0"/>
                <w:bCs w:val="0"/>
              </w:rPr>
              <w:t>,</w:t>
            </w:r>
            <w:r w:rsidR="793E8053">
              <w:rPr>
                <w:b w:val="0"/>
                <w:bCs w:val="0"/>
              </w:rPr>
              <w:t xml:space="preserve"> the one</w:t>
            </w:r>
            <w:r w:rsidR="005100B3">
              <w:rPr>
                <w:b w:val="0"/>
                <w:bCs w:val="0"/>
              </w:rPr>
              <w:t xml:space="preserve"> financed by the ERDF w</w:t>
            </w:r>
            <w:r w:rsidR="006B4477">
              <w:rPr>
                <w:b w:val="0"/>
                <w:bCs w:val="0"/>
              </w:rPr>
              <w:t xml:space="preserve">as the object of an audit of operations. </w:t>
            </w:r>
            <w:r w:rsidR="22B85B22">
              <w:rPr>
                <w:b w:val="0"/>
                <w:bCs w:val="0"/>
              </w:rPr>
              <w:t>T</w:t>
            </w:r>
            <w:r w:rsidR="326D6A87">
              <w:rPr>
                <w:b w:val="0"/>
                <w:bCs w:val="0"/>
              </w:rPr>
              <w:t xml:space="preserve">he auditors </w:t>
            </w:r>
            <w:r w:rsidR="23961E4B">
              <w:rPr>
                <w:b w:val="0"/>
                <w:bCs w:val="0"/>
              </w:rPr>
              <w:t xml:space="preserve">identified </w:t>
            </w:r>
            <w:r w:rsidR="0263A158">
              <w:rPr>
                <w:b w:val="0"/>
                <w:bCs w:val="0"/>
              </w:rPr>
              <w:t>that</w:t>
            </w:r>
            <w:r w:rsidR="46D05A97">
              <w:rPr>
                <w:b w:val="0"/>
                <w:bCs w:val="0"/>
              </w:rPr>
              <w:t xml:space="preserve"> part of the bicycle lane was submitted as part of projects once for ERDF funding and secondly for EA</w:t>
            </w:r>
            <w:r w:rsidR="00B37F89">
              <w:rPr>
                <w:b w:val="0"/>
                <w:bCs w:val="0"/>
              </w:rPr>
              <w:t>F</w:t>
            </w:r>
            <w:r w:rsidR="46D05A97">
              <w:rPr>
                <w:b w:val="0"/>
                <w:bCs w:val="0"/>
              </w:rPr>
              <w:t>RD funding.</w:t>
            </w:r>
            <w:r w:rsidR="00BE4EEE">
              <w:rPr>
                <w:b w:val="0"/>
                <w:bCs w:val="0"/>
              </w:rPr>
              <w:t xml:space="preserve"> </w:t>
            </w:r>
            <w:r w:rsidR="00FA7FA8">
              <w:rPr>
                <w:b w:val="0"/>
                <w:bCs w:val="0"/>
              </w:rPr>
              <w:t>The</w:t>
            </w:r>
            <w:r w:rsidR="009B7985">
              <w:rPr>
                <w:b w:val="0"/>
                <w:bCs w:val="0"/>
              </w:rPr>
              <w:t xml:space="preserve"> </w:t>
            </w:r>
            <w:r w:rsidR="00213811">
              <w:rPr>
                <w:b w:val="0"/>
                <w:bCs w:val="0"/>
              </w:rPr>
              <w:t xml:space="preserve">verifications </w:t>
            </w:r>
            <w:r w:rsidR="00F36366">
              <w:rPr>
                <w:b w:val="0"/>
                <w:bCs w:val="0"/>
              </w:rPr>
              <w:t>carried out by the managing authority</w:t>
            </w:r>
            <w:r w:rsidR="00FA7FA8">
              <w:rPr>
                <w:b w:val="0"/>
                <w:bCs w:val="0"/>
              </w:rPr>
              <w:t xml:space="preserve"> </w:t>
            </w:r>
            <w:r w:rsidR="00EE5581">
              <w:rPr>
                <w:b w:val="0"/>
                <w:bCs w:val="0"/>
              </w:rPr>
              <w:t>at the request of the auditors</w:t>
            </w:r>
            <w:r w:rsidR="00FA7FA8">
              <w:rPr>
                <w:b w:val="0"/>
                <w:bCs w:val="0"/>
              </w:rPr>
              <w:t xml:space="preserve"> confirmed that the </w:t>
            </w:r>
            <w:r w:rsidR="00D77A9D">
              <w:rPr>
                <w:b w:val="0"/>
                <w:bCs w:val="0"/>
              </w:rPr>
              <w:t xml:space="preserve">expenses for the </w:t>
            </w:r>
            <w:r w:rsidR="00961D7B">
              <w:rPr>
                <w:b w:val="0"/>
                <w:bCs w:val="0"/>
              </w:rPr>
              <w:t xml:space="preserve">signage </w:t>
            </w:r>
            <w:r w:rsidR="005C4428">
              <w:rPr>
                <w:b w:val="0"/>
                <w:bCs w:val="0"/>
              </w:rPr>
              <w:t>were financed by both the ERDF and the EAFRD</w:t>
            </w:r>
            <w:r w:rsidR="00EE5581">
              <w:rPr>
                <w:b w:val="0"/>
                <w:bCs w:val="0"/>
              </w:rPr>
              <w:t>, resulting in double financing of a part of the operation</w:t>
            </w:r>
            <w:r w:rsidR="005C4428">
              <w:rPr>
                <w:b w:val="0"/>
                <w:bCs w:val="0"/>
              </w:rPr>
              <w:t>.</w:t>
            </w:r>
          </w:p>
        </w:tc>
      </w:tr>
    </w:tbl>
    <w:p w14:paraId="3C3C755A" w14:textId="77777777" w:rsidR="0084180E" w:rsidRPr="009E57FF" w:rsidRDefault="0084180E" w:rsidP="009E57FF">
      <w:pPr>
        <w:spacing w:line="240" w:lineRule="auto"/>
        <w:rPr>
          <w:lang w:val="en-IE"/>
        </w:rPr>
      </w:pPr>
    </w:p>
    <w:p w14:paraId="2810E167" w14:textId="688054D0" w:rsidR="00343301" w:rsidRPr="007E47CE" w:rsidRDefault="6120AFF4" w:rsidP="009E57FF">
      <w:pPr>
        <w:pStyle w:val="Heading2"/>
        <w:spacing w:line="240" w:lineRule="auto"/>
        <w:jc w:val="both"/>
        <w:rPr>
          <w:b/>
          <w:bCs/>
          <w:color w:val="4472C4" w:themeColor="accent1"/>
        </w:rPr>
      </w:pPr>
      <w:bookmarkStart w:id="73" w:name="_Toc168350337"/>
      <w:r w:rsidRPr="009E57FF">
        <w:rPr>
          <w:b/>
          <w:bCs/>
          <w:color w:val="4472C4" w:themeColor="accent1"/>
        </w:rPr>
        <w:lastRenderedPageBreak/>
        <w:t>6</w:t>
      </w:r>
      <w:r w:rsidRPr="007E47CE">
        <w:rPr>
          <w:b/>
          <w:bCs/>
          <w:color w:val="4472C4" w:themeColor="accent1"/>
        </w:rPr>
        <w:t>.5.</w:t>
      </w:r>
      <w:r w:rsidR="008666AB" w:rsidRPr="007E47CE">
        <w:rPr>
          <w:b/>
          <w:bCs/>
          <w:color w:val="4472C4" w:themeColor="accent1"/>
        </w:rPr>
        <w:tab/>
      </w:r>
      <w:r w:rsidRPr="007E47CE">
        <w:rPr>
          <w:b/>
          <w:bCs/>
          <w:color w:val="4472C4" w:themeColor="accent1"/>
        </w:rPr>
        <w:t xml:space="preserve">Verification of compliance with State aid rules in case of using </w:t>
      </w:r>
      <w:r w:rsidR="1CA91410" w:rsidRPr="007E47CE">
        <w:rPr>
          <w:b/>
          <w:bCs/>
          <w:color w:val="4472C4" w:themeColor="accent1"/>
        </w:rPr>
        <w:t>simplified cost options</w:t>
      </w:r>
      <w:r w:rsidRPr="007E47CE">
        <w:rPr>
          <w:b/>
          <w:bCs/>
          <w:color w:val="4472C4" w:themeColor="accent1"/>
        </w:rPr>
        <w:t xml:space="preserve"> as form of reimbursement</w:t>
      </w:r>
      <w:bookmarkEnd w:id="73"/>
    </w:p>
    <w:p w14:paraId="3CF5911E" w14:textId="77777777" w:rsidR="004E14C4" w:rsidRPr="004E14C4" w:rsidRDefault="004E14C4" w:rsidP="004E14C4">
      <w:r w:rsidRPr="004E14C4">
        <w:t xml:space="preserve">When using simplified cost options to reimburse beneficiaries, the verification of State aid and </w:t>
      </w:r>
      <w:r w:rsidRPr="004E14C4">
        <w:rPr>
          <w:i/>
          <w:iCs/>
        </w:rPr>
        <w:t>de minimis rules</w:t>
      </w:r>
      <w:r w:rsidRPr="004E14C4">
        <w:t xml:space="preserve"> is required. If the support is considered State aid, </w:t>
      </w:r>
      <w:proofErr w:type="gramStart"/>
      <w:r w:rsidRPr="004E14C4">
        <w:t>in order to</w:t>
      </w:r>
      <w:proofErr w:type="gramEnd"/>
      <w:r w:rsidRPr="004E14C4">
        <w:t xml:space="preserve"> check the compliance with state aid rules, the management verifications and audits will cover the following elements:</w:t>
      </w:r>
    </w:p>
    <w:p w14:paraId="33CD0D02" w14:textId="606B5C33" w:rsidR="004E14C4" w:rsidRPr="004E14C4" w:rsidRDefault="13846855" w:rsidP="5F60E5CE">
      <w:pPr>
        <w:numPr>
          <w:ilvl w:val="0"/>
          <w:numId w:val="75"/>
        </w:numPr>
        <w:rPr>
          <w:b/>
          <w:bCs/>
          <w:color w:val="4471C4"/>
        </w:rPr>
      </w:pPr>
      <w:r w:rsidRPr="5F60E5CE">
        <w:rPr>
          <w:b/>
          <w:bCs/>
          <w:color w:val="4471C4"/>
        </w:rPr>
        <w:t>Eligibility of costs covered by the SCO under the GBER rules</w:t>
      </w:r>
      <w:r w:rsidR="2A36EBA8" w:rsidRPr="5F60E5CE">
        <w:rPr>
          <w:b/>
          <w:bCs/>
          <w:color w:val="4471C4"/>
        </w:rPr>
        <w:t xml:space="preserve"> and the SGEI </w:t>
      </w:r>
      <w:proofErr w:type="gramStart"/>
      <w:r w:rsidR="2A36EBA8" w:rsidRPr="5F60E5CE">
        <w:rPr>
          <w:b/>
          <w:bCs/>
          <w:color w:val="4471C4"/>
        </w:rPr>
        <w:t>decision</w:t>
      </w:r>
      <w:proofErr w:type="gramEnd"/>
    </w:p>
    <w:p w14:paraId="5C78C8C9" w14:textId="6131E32E" w:rsidR="004E14C4" w:rsidRPr="004E14C4" w:rsidRDefault="13846855" w:rsidP="004E14C4">
      <w:pPr>
        <w:ind w:left="720"/>
      </w:pPr>
      <w:r>
        <w:t>In case State aid rules apply (see section 5</w:t>
      </w:r>
      <w:r w:rsidR="1AA0A32F">
        <w:t>.2</w:t>
      </w:r>
      <w:r>
        <w:t xml:space="preserve">), the costs covered by the SCO </w:t>
      </w:r>
      <w:proofErr w:type="gramStart"/>
      <w:r>
        <w:t>have to</w:t>
      </w:r>
      <w:proofErr w:type="gramEnd"/>
      <w:r>
        <w:t xml:space="preserve"> be eligible under the GBER rules</w:t>
      </w:r>
      <w:r w:rsidR="5CD3D425">
        <w:t xml:space="preserve"> or the SGEI decision</w:t>
      </w:r>
      <w:r>
        <w:t xml:space="preserve">. </w:t>
      </w:r>
      <w:proofErr w:type="gramStart"/>
      <w:r>
        <w:t>In order to</w:t>
      </w:r>
      <w:proofErr w:type="gramEnd"/>
      <w:r>
        <w:t xml:space="preserve"> check the eligibility, the managing authority and audit authority check that the categories of costs identified at the level of the methodology, published in the calls for proposal and stated in the document setting out the conditions for support are eligible under the GBER rules</w:t>
      </w:r>
      <w:r w:rsidR="06EAE16C">
        <w:t xml:space="preserve"> or the SGEI decision</w:t>
      </w:r>
      <w:r>
        <w:t xml:space="preserve">. </w:t>
      </w:r>
    </w:p>
    <w:p w14:paraId="6E484F3F" w14:textId="2E2715EF" w:rsidR="004E14C4" w:rsidRPr="004E14C4" w:rsidRDefault="004E14C4" w:rsidP="00AA3BE7">
      <w:pPr>
        <w:ind w:left="720"/>
      </w:pPr>
      <w:r w:rsidRPr="004E14C4">
        <w:t>For operations using the pre-defined flat rates from the Regulations, the eligibility of costs will be verified by checking the document setting out the conditions for support to ensure that only eligible categories of costs are to be funded by the operation.</w:t>
      </w:r>
    </w:p>
    <w:p w14:paraId="5C5B63F5" w14:textId="77777777" w:rsidR="004E14C4" w:rsidRPr="004E14C4" w:rsidRDefault="13846855" w:rsidP="5F60E5CE">
      <w:pPr>
        <w:numPr>
          <w:ilvl w:val="0"/>
          <w:numId w:val="76"/>
        </w:numPr>
        <w:rPr>
          <w:b/>
          <w:bCs/>
          <w:color w:val="4471C4"/>
        </w:rPr>
      </w:pPr>
      <w:r w:rsidRPr="5F60E5CE">
        <w:rPr>
          <w:b/>
          <w:bCs/>
          <w:color w:val="4471C4"/>
        </w:rPr>
        <w:t xml:space="preserve">The maximum aid intensity/compensation is </w:t>
      </w:r>
      <w:proofErr w:type="gramStart"/>
      <w:r w:rsidRPr="5F60E5CE">
        <w:rPr>
          <w:b/>
          <w:bCs/>
          <w:color w:val="4471C4"/>
        </w:rPr>
        <w:t>respected</w:t>
      </w:r>
      <w:proofErr w:type="gramEnd"/>
    </w:p>
    <w:p w14:paraId="3916A3CB" w14:textId="6A16166B" w:rsidR="004E14C4" w:rsidRPr="004E14C4" w:rsidRDefault="13846855" w:rsidP="004E14C4">
      <w:pPr>
        <w:ind w:left="720"/>
      </w:pPr>
      <w:r w:rsidRPr="5F60E5CE">
        <w:t>When simplified cost options have been established in accordance Articles 53 to 56 CPR or the relevant provisions in the Fund-specific regulations, this amount will be used for the purposes of checking the maximum aid intensity</w:t>
      </w:r>
      <w:r w:rsidR="518CA01C" w:rsidRPr="5F60E5CE">
        <w:t xml:space="preserve"> or, in case of services of general </w:t>
      </w:r>
      <w:r w:rsidR="2DE019EB" w:rsidRPr="5F60E5CE">
        <w:t xml:space="preserve">economic </w:t>
      </w:r>
      <w:r w:rsidR="518CA01C" w:rsidRPr="5F60E5CE">
        <w:t xml:space="preserve">interest, </w:t>
      </w:r>
      <w:r w:rsidR="4BF6AAFC" w:rsidRPr="5F60E5CE">
        <w:t>the</w:t>
      </w:r>
      <w:r w:rsidR="518CA01C" w:rsidRPr="5F60E5CE">
        <w:t xml:space="preserve"> compensation</w:t>
      </w:r>
      <w:r w:rsidRPr="5F60E5CE">
        <w:t xml:space="preserve">. Therefore, </w:t>
      </w:r>
      <w:proofErr w:type="gramStart"/>
      <w:r w:rsidRPr="5F60E5CE">
        <w:t>similar to</w:t>
      </w:r>
      <w:proofErr w:type="gramEnd"/>
      <w:r w:rsidRPr="5F60E5CE">
        <w:t xml:space="preserve"> using real costs under the GBER or SGEI</w:t>
      </w:r>
      <w:r w:rsidR="518CA01C" w:rsidRPr="5F60E5CE">
        <w:t xml:space="preserve"> decision</w:t>
      </w:r>
      <w:r w:rsidRPr="5F60E5CE">
        <w:t>, the amount of the simplified cost option will be used for verifying compliance with the maximum aid intensity under the relevant State aid category or to calculate the amount of compensation under the SGEI rules.</w:t>
      </w:r>
    </w:p>
    <w:p w14:paraId="34966AE7" w14:textId="77777777" w:rsidR="004E14C4" w:rsidRPr="004E14C4" w:rsidRDefault="13846855" w:rsidP="5F60E5CE">
      <w:pPr>
        <w:numPr>
          <w:ilvl w:val="0"/>
          <w:numId w:val="77"/>
        </w:numPr>
        <w:rPr>
          <w:b/>
          <w:bCs/>
          <w:color w:val="4471C4"/>
        </w:rPr>
      </w:pPr>
      <w:r w:rsidRPr="5F60E5CE">
        <w:rPr>
          <w:b/>
          <w:bCs/>
          <w:color w:val="4471C4"/>
        </w:rPr>
        <w:t>The incentive effect is respected, according to Article 6 GBER</w:t>
      </w:r>
    </w:p>
    <w:p w14:paraId="098FF6B0" w14:textId="77777777" w:rsidR="004E14C4" w:rsidRPr="004E14C4" w:rsidRDefault="13846855" w:rsidP="004E14C4">
      <w:pPr>
        <w:ind w:firstLine="720"/>
      </w:pPr>
      <w:r>
        <w:t xml:space="preserve">The managing authority </w:t>
      </w:r>
      <w:proofErr w:type="gramStart"/>
      <w:r>
        <w:t>has to</w:t>
      </w:r>
      <w:proofErr w:type="gramEnd"/>
      <w:r>
        <w:t xml:space="preserve"> check ex-ante that the beneficiary respects incentive effect. </w:t>
      </w:r>
    </w:p>
    <w:p w14:paraId="03758E4F" w14:textId="760ACB85" w:rsidR="06CD0E6E" w:rsidRPr="009E57FF" w:rsidRDefault="13846855" w:rsidP="009E57FF">
      <w:pPr>
        <w:ind w:left="720"/>
      </w:pPr>
      <w:r>
        <w:t xml:space="preserve">Both managing and audit authority will check that the beneficiary did not </w:t>
      </w:r>
      <w:proofErr w:type="gramStart"/>
      <w:r w:rsidR="14F45E4A">
        <w:t>enter</w:t>
      </w:r>
      <w:r>
        <w:t xml:space="preserve"> into</w:t>
      </w:r>
      <w:proofErr w:type="gramEnd"/>
      <w:r>
        <w:t xml:space="preserve"> </w:t>
      </w:r>
      <w:r w:rsidRPr="5F60E5CE">
        <w:t xml:space="preserve">any type of contractual arrangement showing its willingness to pursue the project even in the absence of aid. This check could be done by requiring a self-declaration from the aid applicant that it had not </w:t>
      </w:r>
      <w:proofErr w:type="gramStart"/>
      <w:r w:rsidRPr="5F60E5CE">
        <w:t>entered into</w:t>
      </w:r>
      <w:proofErr w:type="gramEnd"/>
      <w:r>
        <w:t xml:space="preserve"> firm legal commitment (start of works) before the submission of the application. Self-declarations could be considered acceptable to demonstrate the incentive effect, provided there exists an effective system of control allowing random checks on these self-declarations.</w:t>
      </w:r>
    </w:p>
    <w:p w14:paraId="5B934126" w14:textId="2FD217F1" w:rsidR="006874FB" w:rsidRPr="002C608A" w:rsidRDefault="006874FB" w:rsidP="006874FB">
      <w:pPr>
        <w:pStyle w:val="Heading2"/>
        <w:jc w:val="both"/>
        <w:rPr>
          <w:b/>
          <w:bCs/>
          <w:color w:val="4472C4" w:themeColor="accent1"/>
        </w:rPr>
      </w:pPr>
      <w:bookmarkStart w:id="74" w:name="_Toc168350338"/>
      <w:r w:rsidRPr="004E6DE3">
        <w:rPr>
          <w:b/>
          <w:bCs/>
          <w:color w:val="4472C4" w:themeColor="accent1"/>
        </w:rPr>
        <w:t>6.</w:t>
      </w:r>
      <w:r w:rsidR="00082B05">
        <w:rPr>
          <w:b/>
          <w:bCs/>
          <w:color w:val="4472C4" w:themeColor="accent1"/>
        </w:rPr>
        <w:t>6</w:t>
      </w:r>
      <w:r w:rsidRPr="004E6DE3">
        <w:rPr>
          <w:b/>
          <w:bCs/>
          <w:color w:val="4472C4" w:themeColor="accent1"/>
        </w:rPr>
        <w:t>.</w:t>
      </w:r>
      <w:r w:rsidRPr="002C608A">
        <w:rPr>
          <w:b/>
          <w:bCs/>
          <w:color w:val="4472C4" w:themeColor="accent1"/>
        </w:rPr>
        <w:tab/>
        <w:t>Fraud cases</w:t>
      </w:r>
      <w:r w:rsidR="00015F62">
        <w:rPr>
          <w:b/>
          <w:bCs/>
          <w:color w:val="4472C4" w:themeColor="accent1"/>
        </w:rPr>
        <w:t xml:space="preserve"> and irregularities</w:t>
      </w:r>
      <w:bookmarkEnd w:id="74"/>
    </w:p>
    <w:p w14:paraId="13DBECA5" w14:textId="6B13A0C6" w:rsidR="00D956A8" w:rsidRDefault="00525442" w:rsidP="00D956A8">
      <w:r>
        <w:t xml:space="preserve">Any allegations of fraud related to operations financed </w:t>
      </w:r>
      <w:r w:rsidR="008F400F">
        <w:t>through</w:t>
      </w:r>
      <w:r>
        <w:t xml:space="preserve"> SCOs will be addressed either by the national system or</w:t>
      </w:r>
      <w:r w:rsidR="00C91BF6">
        <w:t>,</w:t>
      </w:r>
      <w:r>
        <w:t xml:space="preserve"> in case the Commission would receive </w:t>
      </w:r>
      <w:r w:rsidR="00D218A4">
        <w:t>such information,</w:t>
      </w:r>
      <w:r w:rsidR="00D956A8">
        <w:t xml:space="preserve"> </w:t>
      </w:r>
      <w:r>
        <w:t xml:space="preserve">it would be passed to OLAF, national fraud investigation bodies and the European Public Prosecutor’s Office, as appropriate and pursued in the same way as allegations of fraud where SCOs are not part of the programme.  </w:t>
      </w:r>
    </w:p>
    <w:p w14:paraId="77123A7F" w14:textId="77777777" w:rsidR="00525442" w:rsidRDefault="00525442" w:rsidP="00525442">
      <w:r>
        <w:t xml:space="preserve">Moreover, the decision of the competent body, as well as the national legislation will have to be applied. </w:t>
      </w:r>
    </w:p>
    <w:p w14:paraId="7036601B" w14:textId="03382AB5" w:rsidR="00525442" w:rsidRDefault="00525442" w:rsidP="00525442">
      <w:r>
        <w:t>Finally, in cases where the irregularity detected leads to the ineligibility of the entire operation (</w:t>
      </w:r>
      <w:r w:rsidR="002C608A">
        <w:t>e.g.,</w:t>
      </w:r>
      <w:r>
        <w:t xml:space="preserve"> </w:t>
      </w:r>
      <w:r w:rsidR="00D956A8">
        <w:t xml:space="preserve">fraud cases, illegal aid, double funding), the </w:t>
      </w:r>
      <w:r w:rsidR="00EF08C6">
        <w:t>expenditure declared using SCOs will be considered ineligible as well</w:t>
      </w:r>
      <w:r>
        <w:t xml:space="preserve">. </w:t>
      </w:r>
    </w:p>
    <w:p w14:paraId="755BD373" w14:textId="42FB990C" w:rsidR="00643AA4" w:rsidRDefault="00D956A8" w:rsidP="577A8074">
      <w:r>
        <w:t>Should evidence suggest a serious deficiency for which corrective measures have not been taken, the Commission may interrupt or suspend related payments (</w:t>
      </w:r>
      <w:r w:rsidR="00933F0F">
        <w:t>A</w:t>
      </w:r>
      <w:r>
        <w:t>rticle</w:t>
      </w:r>
      <w:r w:rsidR="00933F0F">
        <w:t>s</w:t>
      </w:r>
      <w:r>
        <w:t xml:space="preserve"> 96</w:t>
      </w:r>
      <w:r w:rsidR="00933F0F">
        <w:t xml:space="preserve"> and </w:t>
      </w:r>
      <w:r>
        <w:t>97 CPR) and may decide to correct the EU co-financing through the pursuit of financial corrections (</w:t>
      </w:r>
      <w:r w:rsidR="00933F0F">
        <w:t>A</w:t>
      </w:r>
      <w:r>
        <w:t>rticle 104 CPR).</w:t>
      </w:r>
    </w:p>
    <w:p w14:paraId="6979CE6B" w14:textId="24525F3B" w:rsidR="008666AB" w:rsidRPr="004E6DE3" w:rsidRDefault="00270C50" w:rsidP="008E4D41">
      <w:pPr>
        <w:pStyle w:val="Heading2"/>
        <w:jc w:val="both"/>
        <w:rPr>
          <w:b/>
          <w:bCs/>
          <w:color w:val="4472C4" w:themeColor="accent1"/>
        </w:rPr>
      </w:pPr>
      <w:bookmarkStart w:id="75" w:name="_Toc168350339"/>
      <w:r>
        <w:rPr>
          <w:b/>
          <w:bCs/>
          <w:color w:val="4472C4" w:themeColor="accent1"/>
        </w:rPr>
        <w:lastRenderedPageBreak/>
        <w:t>6.</w:t>
      </w:r>
      <w:r w:rsidR="00082B05">
        <w:rPr>
          <w:b/>
          <w:bCs/>
          <w:color w:val="4472C4" w:themeColor="accent1"/>
        </w:rPr>
        <w:t>7</w:t>
      </w:r>
      <w:r>
        <w:rPr>
          <w:b/>
          <w:bCs/>
          <w:color w:val="4472C4" w:themeColor="accent1"/>
        </w:rPr>
        <w:t xml:space="preserve"> </w:t>
      </w:r>
      <w:r w:rsidR="002C608A">
        <w:rPr>
          <w:b/>
          <w:bCs/>
          <w:color w:val="4472C4" w:themeColor="accent1"/>
        </w:rPr>
        <w:tab/>
      </w:r>
      <w:r w:rsidR="008B231B" w:rsidRPr="004E6DE3">
        <w:rPr>
          <w:b/>
          <w:bCs/>
          <w:color w:val="4472C4" w:themeColor="accent1"/>
        </w:rPr>
        <w:t>Potential errors or irregularities linked to the use of simplified cost options</w:t>
      </w:r>
      <w:bookmarkEnd w:id="75"/>
    </w:p>
    <w:p w14:paraId="0D623676" w14:textId="77777777" w:rsidR="00410A64" w:rsidRPr="00410A64" w:rsidRDefault="00410A64" w:rsidP="00410A64">
      <w:r w:rsidRPr="00410A64">
        <w:t xml:space="preserve">Findings that could </w:t>
      </w:r>
      <w:proofErr w:type="gramStart"/>
      <w:r w:rsidRPr="00410A64">
        <w:t>be considered to be</w:t>
      </w:r>
      <w:proofErr w:type="gramEnd"/>
      <w:r w:rsidRPr="00410A64">
        <w:t xml:space="preserve"> errors or irregularities, </w:t>
      </w:r>
      <w:r w:rsidRPr="00873DEE">
        <w:rPr>
          <w:b/>
          <w:bCs/>
          <w:color w:val="4472C4" w:themeColor="accent1"/>
        </w:rPr>
        <w:t>at the level of</w:t>
      </w:r>
      <w:r w:rsidRPr="00873DEE">
        <w:rPr>
          <w:b/>
          <w:color w:val="4472C4" w:themeColor="accent1"/>
        </w:rPr>
        <w:t xml:space="preserve"> </w:t>
      </w:r>
      <w:r w:rsidRPr="00873DEE">
        <w:rPr>
          <w:b/>
          <w:bCs/>
          <w:color w:val="4472C4" w:themeColor="accent1"/>
        </w:rPr>
        <w:t>setting up the methodology</w:t>
      </w:r>
      <w:r w:rsidRPr="00410A64">
        <w:t>, include the following:</w:t>
      </w:r>
    </w:p>
    <w:p w14:paraId="0BCFF4E2" w14:textId="77777777" w:rsidR="00410A64" w:rsidRPr="00410A64" w:rsidRDefault="00410A64" w:rsidP="00410A64">
      <w:pPr>
        <w:numPr>
          <w:ilvl w:val="0"/>
          <w:numId w:val="78"/>
        </w:numPr>
      </w:pPr>
      <w:r w:rsidRPr="00410A64">
        <w:t>The methodology used to calculate the SCOs does not respect the regulatory conditions (for example, the method used for developing a simplified cost option was not fair, equitable and verifiable</w:t>
      </w:r>
      <w:proofErr w:type="gramStart"/>
      <w:r w:rsidRPr="00410A64">
        <w:t>);</w:t>
      </w:r>
      <w:proofErr w:type="gramEnd"/>
    </w:p>
    <w:p w14:paraId="43F2356D" w14:textId="27087C00" w:rsidR="00410A64" w:rsidRPr="00410A64" w:rsidRDefault="00410A64" w:rsidP="00410A64">
      <w:pPr>
        <w:numPr>
          <w:ilvl w:val="0"/>
          <w:numId w:val="78"/>
        </w:numPr>
      </w:pPr>
      <w:r w:rsidRPr="00410A64">
        <w:t xml:space="preserve">The sample considered for the calculation of the SCO is not </w:t>
      </w:r>
      <w:proofErr w:type="gramStart"/>
      <w:r w:rsidRPr="00410A64">
        <w:t>representative</w:t>
      </w:r>
      <w:r w:rsidR="002C608A">
        <w:t>;</w:t>
      </w:r>
      <w:proofErr w:type="gramEnd"/>
    </w:p>
    <w:p w14:paraId="3DF880B2" w14:textId="77777777" w:rsidR="00410A64" w:rsidRPr="00410A64" w:rsidRDefault="00410A64" w:rsidP="00410A64">
      <w:pPr>
        <w:numPr>
          <w:ilvl w:val="0"/>
          <w:numId w:val="78"/>
        </w:numPr>
      </w:pPr>
      <w:r w:rsidRPr="00410A64">
        <w:t xml:space="preserve">The results of the calculation method have not been correctly used to establish the simplified cost </w:t>
      </w:r>
      <w:proofErr w:type="gramStart"/>
      <w:r w:rsidRPr="00410A64">
        <w:t>options;</w:t>
      </w:r>
      <w:proofErr w:type="gramEnd"/>
    </w:p>
    <w:p w14:paraId="76274715" w14:textId="5CC84892" w:rsidR="00410A64" w:rsidRPr="00410A64" w:rsidRDefault="00410A64" w:rsidP="00410A64">
      <w:pPr>
        <w:numPr>
          <w:ilvl w:val="0"/>
          <w:numId w:val="78"/>
        </w:numPr>
      </w:pPr>
      <w:r w:rsidRPr="00410A64">
        <w:t>Ineligible costs are included in the calculation to establish the simplified cost option.</w:t>
      </w:r>
    </w:p>
    <w:p w14:paraId="5BDEE9CA" w14:textId="77777777" w:rsidR="00410A64" w:rsidRPr="00410A64" w:rsidRDefault="00410A64" w:rsidP="00410A64">
      <w:r w:rsidRPr="00410A64">
        <w:t xml:space="preserve">Findings that could </w:t>
      </w:r>
      <w:proofErr w:type="gramStart"/>
      <w:r w:rsidRPr="00410A64">
        <w:t>be considered to be</w:t>
      </w:r>
      <w:proofErr w:type="gramEnd"/>
      <w:r w:rsidRPr="00410A64">
        <w:t xml:space="preserve"> errors or irregularities, </w:t>
      </w:r>
      <w:r w:rsidRPr="00873DEE">
        <w:rPr>
          <w:b/>
          <w:bCs/>
          <w:color w:val="4472C4" w:themeColor="accent1"/>
        </w:rPr>
        <w:t>at the level of the application of the methodology</w:t>
      </w:r>
      <w:r w:rsidRPr="00410A64">
        <w:t>, include the following:</w:t>
      </w:r>
    </w:p>
    <w:p w14:paraId="11BBC4D3" w14:textId="77777777" w:rsidR="00410A64" w:rsidRPr="00410A64" w:rsidRDefault="00410A64" w:rsidP="00410A64">
      <w:pPr>
        <w:numPr>
          <w:ilvl w:val="0"/>
          <w:numId w:val="79"/>
        </w:numPr>
      </w:pPr>
      <w:r w:rsidRPr="00410A64">
        <w:t xml:space="preserve">A beneficiary has not applied the simplified cost options established by the managing authority to declare </w:t>
      </w:r>
      <w:proofErr w:type="gramStart"/>
      <w:r w:rsidRPr="00410A64">
        <w:t>expenditure;</w:t>
      </w:r>
      <w:proofErr w:type="gramEnd"/>
    </w:p>
    <w:p w14:paraId="6B7A8F58" w14:textId="7BCAEDE2" w:rsidR="00410A64" w:rsidRPr="00410A64" w:rsidRDefault="00410A64" w:rsidP="00410A64">
      <w:pPr>
        <w:numPr>
          <w:ilvl w:val="0"/>
          <w:numId w:val="79"/>
        </w:numPr>
      </w:pPr>
      <w:r w:rsidRPr="00410A64">
        <w:t xml:space="preserve">Simplified cost options are applied </w:t>
      </w:r>
      <w:proofErr w:type="gramStart"/>
      <w:r w:rsidRPr="00410A64">
        <w:t>retroactively</w:t>
      </w:r>
      <w:r w:rsidR="005B7912">
        <w:t>;</w:t>
      </w:r>
      <w:proofErr w:type="gramEnd"/>
    </w:p>
    <w:p w14:paraId="57DA01C0" w14:textId="77777777" w:rsidR="00410A64" w:rsidRPr="00410A64" w:rsidRDefault="00410A64" w:rsidP="00410A64">
      <w:pPr>
        <w:numPr>
          <w:ilvl w:val="0"/>
          <w:numId w:val="79"/>
        </w:numPr>
      </w:pPr>
      <w:r w:rsidRPr="00410A64">
        <w:t>Double declaration of the same cost item: as ‘basis’ cost (calculated on the basis of the real cost principle, lump sum or unit cost) and as ‘calculated’ eligible costs (included in the flat rate</w:t>
      </w:r>
      <w:proofErr w:type="gramStart"/>
      <w:r w:rsidRPr="00410A64">
        <w:t>);</w:t>
      </w:r>
      <w:proofErr w:type="gramEnd"/>
    </w:p>
    <w:p w14:paraId="61821A69" w14:textId="034516B2" w:rsidR="00410A64" w:rsidRPr="00410A64" w:rsidRDefault="00410A64" w:rsidP="00410A64">
      <w:pPr>
        <w:numPr>
          <w:ilvl w:val="0"/>
          <w:numId w:val="79"/>
        </w:numPr>
      </w:pPr>
      <w:r w:rsidRPr="00410A64">
        <w:t>In case of flat rates, when the ‘basis costs’ are reduced without a proportional reduction of ‘calculated’ eligible costs (included in the flat rate). If an irregularity in the categories of eligible costs to which a flat rate is applied is detected during management verification or during an audit, the calculated eligible costs will need to be reduced too.</w:t>
      </w:r>
    </w:p>
    <w:p w14:paraId="39E74FA6" w14:textId="5542922B" w:rsidR="00410A64" w:rsidRDefault="00410A64" w:rsidP="000F777E">
      <w:r w:rsidRPr="00410A64">
        <w:t>In case of lump sum, lack of supporting documents to justify the outputs, or outputs only partially justified but paid in totality</w:t>
      </w:r>
      <w:r>
        <w:t>.</w:t>
      </w:r>
    </w:p>
    <w:p w14:paraId="3ACBADBB" w14:textId="77777777" w:rsidR="00EF72F8" w:rsidRPr="000F777E" w:rsidRDefault="00EF72F8" w:rsidP="000F777E"/>
    <w:tbl>
      <w:tblPr>
        <w:tblStyle w:val="GridTable4-Accent1"/>
        <w:tblW w:w="0" w:type="auto"/>
        <w:tblLook w:val="04A0" w:firstRow="1" w:lastRow="0" w:firstColumn="1" w:lastColumn="0" w:noHBand="0" w:noVBand="1"/>
      </w:tblPr>
      <w:tblGrid>
        <w:gridCol w:w="9016"/>
      </w:tblGrid>
      <w:tr w:rsidR="000F777E" w14:paraId="1DFA04B4" w14:textId="77777777" w:rsidTr="000F77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399B82E9" w14:textId="4DDC5411" w:rsidR="000F777E" w:rsidRPr="000F777E" w:rsidRDefault="000F777E" w:rsidP="00410A64">
            <w:r w:rsidRPr="000F777E">
              <w:t>Example 1: ERDF</w:t>
            </w:r>
          </w:p>
        </w:tc>
      </w:tr>
      <w:tr w:rsidR="000F777E" w14:paraId="7B573D28" w14:textId="77777777" w:rsidTr="000F77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79BB7AC3" w14:textId="77777777" w:rsidR="000F777E" w:rsidRPr="000F777E" w:rsidRDefault="000F777E" w:rsidP="000F777E">
            <w:pPr>
              <w:rPr>
                <w:b w:val="0"/>
                <w:bCs w:val="0"/>
              </w:rPr>
            </w:pPr>
            <w:r w:rsidRPr="000F777E">
              <w:rPr>
                <w:b w:val="0"/>
                <w:bCs w:val="0"/>
              </w:rPr>
              <w:t xml:space="preserve">A municipality receives a grant for a maximum amount of EUR 1 000 000 of eligible costs for the construction of a road. </w:t>
            </w:r>
          </w:p>
          <w:p w14:paraId="286192FC" w14:textId="77777777" w:rsidR="000F777E" w:rsidRPr="000F777E" w:rsidRDefault="000F777E" w:rsidP="000F777E">
            <w:pPr>
              <w:rPr>
                <w:b w:val="0"/>
                <w:bCs w:val="0"/>
              </w:rPr>
            </w:pPr>
            <w:r w:rsidRPr="000F777E">
              <w:rPr>
                <w:b w:val="0"/>
                <w:bCs w:val="0"/>
              </w:rPr>
              <w:t>The payment claim for the project is as follows:</w:t>
            </w: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395"/>
              <w:gridCol w:w="4375"/>
            </w:tblGrid>
            <w:tr w:rsidR="000F777E" w:rsidRPr="000F777E" w14:paraId="3EA62A33" w14:textId="77777777">
              <w:tc>
                <w:tcPr>
                  <w:tcW w:w="4505" w:type="dxa"/>
                  <w:tcBorders>
                    <w:bottom w:val="single" w:sz="12" w:space="0" w:color="auto"/>
                  </w:tcBorders>
                  <w:shd w:val="clear" w:color="auto" w:fill="auto"/>
                </w:tcPr>
                <w:p w14:paraId="4250A909" w14:textId="77777777" w:rsidR="000F777E" w:rsidRPr="000F777E" w:rsidRDefault="000F777E" w:rsidP="000F777E">
                  <w:pPr>
                    <w:spacing w:line="240" w:lineRule="auto"/>
                    <w:rPr>
                      <w:bCs/>
                    </w:rPr>
                  </w:pPr>
                  <w:r w:rsidRPr="009E57FF">
                    <w:rPr>
                      <w:b/>
                      <w:bCs/>
                      <w:color w:val="4472C4" w:themeColor="accent1"/>
                    </w:rPr>
                    <w:t>Project 1: work</w:t>
                  </w:r>
                  <w:r w:rsidRPr="000F777E">
                    <w:rPr>
                      <w:bCs/>
                    </w:rPr>
                    <w:t xml:space="preserve"> (public procurement procedure)</w:t>
                  </w:r>
                </w:p>
              </w:tc>
              <w:tc>
                <w:tcPr>
                  <w:tcW w:w="4506" w:type="dxa"/>
                  <w:tcBorders>
                    <w:bottom w:val="single" w:sz="12" w:space="0" w:color="auto"/>
                  </w:tcBorders>
                  <w:shd w:val="clear" w:color="auto" w:fill="auto"/>
                </w:tcPr>
                <w:p w14:paraId="2B718FCB" w14:textId="77777777" w:rsidR="000F777E" w:rsidRPr="000F777E" w:rsidRDefault="000F777E" w:rsidP="000F777E">
                  <w:pPr>
                    <w:spacing w:line="240" w:lineRule="auto"/>
                    <w:rPr>
                      <w:b/>
                    </w:rPr>
                  </w:pPr>
                  <w:r w:rsidRPr="009E57FF">
                    <w:rPr>
                      <w:b/>
                      <w:bCs/>
                      <w:color w:val="4472C4" w:themeColor="accent1"/>
                    </w:rPr>
                    <w:t>EUR 700 000</w:t>
                  </w:r>
                </w:p>
              </w:tc>
            </w:tr>
            <w:tr w:rsidR="000F777E" w:rsidRPr="000F777E" w14:paraId="1E075F9A" w14:textId="77777777">
              <w:tc>
                <w:tcPr>
                  <w:tcW w:w="4505" w:type="dxa"/>
                  <w:tcBorders>
                    <w:top w:val="single" w:sz="12" w:space="0" w:color="auto"/>
                    <w:bottom w:val="single" w:sz="2" w:space="0" w:color="auto"/>
                  </w:tcBorders>
                  <w:shd w:val="clear" w:color="auto" w:fill="auto"/>
                </w:tcPr>
                <w:p w14:paraId="07ADBD00" w14:textId="77777777" w:rsidR="000F777E" w:rsidRPr="000F777E" w:rsidRDefault="000F777E" w:rsidP="000F777E">
                  <w:pPr>
                    <w:spacing w:line="240" w:lineRule="auto"/>
                    <w:rPr>
                      <w:b/>
                    </w:rPr>
                  </w:pPr>
                  <w:r w:rsidRPr="009E57FF">
                    <w:rPr>
                      <w:b/>
                      <w:bCs/>
                      <w:color w:val="4472C4" w:themeColor="accent1"/>
                    </w:rPr>
                    <w:t>Project 2: other costs:</w:t>
                  </w:r>
                  <w:r w:rsidRPr="000F777E">
                    <w:rPr>
                      <w:b/>
                    </w:rPr>
                    <w:t xml:space="preserve"> </w:t>
                  </w:r>
                </w:p>
              </w:tc>
              <w:tc>
                <w:tcPr>
                  <w:tcW w:w="4506" w:type="dxa"/>
                  <w:tcBorders>
                    <w:top w:val="single" w:sz="12" w:space="0" w:color="auto"/>
                    <w:bottom w:val="single" w:sz="2" w:space="0" w:color="auto"/>
                  </w:tcBorders>
                  <w:shd w:val="clear" w:color="auto" w:fill="auto"/>
                </w:tcPr>
                <w:p w14:paraId="2F384DA4" w14:textId="77777777" w:rsidR="000F777E" w:rsidRPr="000F777E" w:rsidRDefault="000F777E" w:rsidP="000F777E">
                  <w:pPr>
                    <w:spacing w:line="240" w:lineRule="auto"/>
                    <w:rPr>
                      <w:b/>
                    </w:rPr>
                  </w:pPr>
                  <w:r w:rsidRPr="009E57FF">
                    <w:rPr>
                      <w:b/>
                      <w:bCs/>
                      <w:color w:val="4472C4" w:themeColor="accent1"/>
                    </w:rPr>
                    <w:t>EUR 300 000</w:t>
                  </w:r>
                </w:p>
              </w:tc>
            </w:tr>
            <w:tr w:rsidR="000F777E" w:rsidRPr="000F777E" w14:paraId="7666513C" w14:textId="77777777">
              <w:tc>
                <w:tcPr>
                  <w:tcW w:w="4505" w:type="dxa"/>
                  <w:tcBorders>
                    <w:top w:val="single" w:sz="2" w:space="0" w:color="auto"/>
                  </w:tcBorders>
                  <w:shd w:val="clear" w:color="auto" w:fill="auto"/>
                </w:tcPr>
                <w:p w14:paraId="1BEB5450" w14:textId="77777777" w:rsidR="000F777E" w:rsidRPr="000F777E" w:rsidRDefault="000F777E" w:rsidP="000F777E">
                  <w:pPr>
                    <w:spacing w:line="240" w:lineRule="auto"/>
                    <w:rPr>
                      <w:i/>
                    </w:rPr>
                  </w:pPr>
                  <w:r w:rsidRPr="000F777E">
                    <w:rPr>
                      <w:i/>
                    </w:rPr>
                    <w:t>Direct staff costs (type 1)</w:t>
                  </w:r>
                </w:p>
              </w:tc>
              <w:tc>
                <w:tcPr>
                  <w:tcW w:w="4506" w:type="dxa"/>
                  <w:tcBorders>
                    <w:top w:val="single" w:sz="2" w:space="0" w:color="auto"/>
                  </w:tcBorders>
                  <w:shd w:val="clear" w:color="auto" w:fill="auto"/>
                </w:tcPr>
                <w:p w14:paraId="2E0E51D6" w14:textId="77777777" w:rsidR="000F777E" w:rsidRPr="000F777E" w:rsidRDefault="000F777E" w:rsidP="000F777E">
                  <w:pPr>
                    <w:spacing w:line="240" w:lineRule="auto"/>
                    <w:rPr>
                      <w:i/>
                    </w:rPr>
                  </w:pPr>
                  <w:r w:rsidRPr="000F777E">
                    <w:rPr>
                      <w:i/>
                    </w:rPr>
                    <w:t>EUR 50 000</w:t>
                  </w:r>
                </w:p>
              </w:tc>
            </w:tr>
            <w:tr w:rsidR="000F777E" w:rsidRPr="000F777E" w14:paraId="56F9AAA3" w14:textId="77777777">
              <w:tc>
                <w:tcPr>
                  <w:tcW w:w="4505" w:type="dxa"/>
                  <w:shd w:val="clear" w:color="auto" w:fill="auto"/>
                </w:tcPr>
                <w:p w14:paraId="4E476A79" w14:textId="77777777" w:rsidR="000F777E" w:rsidRPr="000F777E" w:rsidRDefault="000F777E" w:rsidP="000F777E">
                  <w:pPr>
                    <w:spacing w:line="240" w:lineRule="auto"/>
                    <w:rPr>
                      <w:i/>
                    </w:rPr>
                  </w:pPr>
                  <w:r w:rsidRPr="000F777E">
                    <w:rPr>
                      <w:i/>
                    </w:rPr>
                    <w:t>Other directs costs (type 3)</w:t>
                  </w:r>
                </w:p>
              </w:tc>
              <w:tc>
                <w:tcPr>
                  <w:tcW w:w="4506" w:type="dxa"/>
                  <w:shd w:val="clear" w:color="auto" w:fill="auto"/>
                </w:tcPr>
                <w:p w14:paraId="24CC9194" w14:textId="77777777" w:rsidR="000F777E" w:rsidRPr="000F777E" w:rsidRDefault="000F777E" w:rsidP="000F777E">
                  <w:pPr>
                    <w:spacing w:line="240" w:lineRule="auto"/>
                    <w:rPr>
                      <w:i/>
                    </w:rPr>
                  </w:pPr>
                  <w:r w:rsidRPr="000F777E">
                    <w:rPr>
                      <w:i/>
                    </w:rPr>
                    <w:t>EUR 242 500</w:t>
                  </w:r>
                </w:p>
              </w:tc>
            </w:tr>
            <w:tr w:rsidR="000F777E" w:rsidRPr="000F777E" w14:paraId="07422FAA" w14:textId="77777777">
              <w:tc>
                <w:tcPr>
                  <w:tcW w:w="4505" w:type="dxa"/>
                  <w:tcBorders>
                    <w:bottom w:val="single" w:sz="12" w:space="0" w:color="auto"/>
                  </w:tcBorders>
                  <w:shd w:val="clear" w:color="auto" w:fill="auto"/>
                </w:tcPr>
                <w:p w14:paraId="4314212E" w14:textId="77777777" w:rsidR="000F777E" w:rsidRPr="000F777E" w:rsidRDefault="000F777E" w:rsidP="000F777E">
                  <w:pPr>
                    <w:spacing w:line="240" w:lineRule="auto"/>
                    <w:rPr>
                      <w:i/>
                    </w:rPr>
                  </w:pPr>
                  <w:r w:rsidRPr="000F777E">
                    <w:rPr>
                      <w:i/>
                    </w:rPr>
                    <w:t>Indirect costs (type 2)</w:t>
                  </w:r>
                </w:p>
              </w:tc>
              <w:tc>
                <w:tcPr>
                  <w:tcW w:w="4506" w:type="dxa"/>
                  <w:tcBorders>
                    <w:bottom w:val="single" w:sz="12" w:space="0" w:color="auto"/>
                  </w:tcBorders>
                  <w:shd w:val="clear" w:color="auto" w:fill="auto"/>
                </w:tcPr>
                <w:p w14:paraId="7649C61D" w14:textId="77777777" w:rsidR="000F777E" w:rsidRPr="000F777E" w:rsidRDefault="000F777E" w:rsidP="000F777E">
                  <w:pPr>
                    <w:spacing w:line="240" w:lineRule="auto"/>
                    <w:rPr>
                      <w:i/>
                    </w:rPr>
                  </w:pPr>
                  <w:r w:rsidRPr="000F777E">
                    <w:rPr>
                      <w:i/>
                    </w:rPr>
                    <w:t>Direct staff costs x 15% = EUR 7 500</w:t>
                  </w:r>
                </w:p>
              </w:tc>
            </w:tr>
            <w:tr w:rsidR="000F777E" w:rsidRPr="000F777E" w14:paraId="61F930BA" w14:textId="77777777">
              <w:tc>
                <w:tcPr>
                  <w:tcW w:w="4505" w:type="dxa"/>
                  <w:tcBorders>
                    <w:top w:val="single" w:sz="12" w:space="0" w:color="auto"/>
                    <w:bottom w:val="single" w:sz="12" w:space="0" w:color="auto"/>
                  </w:tcBorders>
                  <w:shd w:val="clear" w:color="auto" w:fill="auto"/>
                </w:tcPr>
                <w:p w14:paraId="112B3A3E" w14:textId="77777777" w:rsidR="000F777E" w:rsidRPr="000F777E" w:rsidRDefault="000F777E" w:rsidP="000F777E">
                  <w:pPr>
                    <w:spacing w:line="240" w:lineRule="auto"/>
                    <w:rPr>
                      <w:b/>
                    </w:rPr>
                  </w:pPr>
                  <w:r w:rsidRPr="009E57FF">
                    <w:rPr>
                      <w:b/>
                      <w:bCs/>
                      <w:color w:val="4472C4" w:themeColor="accent1"/>
                    </w:rPr>
                    <w:t>Total costs declared</w:t>
                  </w:r>
                </w:p>
              </w:tc>
              <w:tc>
                <w:tcPr>
                  <w:tcW w:w="4506" w:type="dxa"/>
                  <w:tcBorders>
                    <w:top w:val="single" w:sz="12" w:space="0" w:color="auto"/>
                    <w:bottom w:val="single" w:sz="12" w:space="0" w:color="auto"/>
                  </w:tcBorders>
                  <w:shd w:val="clear" w:color="auto" w:fill="auto"/>
                </w:tcPr>
                <w:p w14:paraId="426619D1" w14:textId="77777777" w:rsidR="000F777E" w:rsidRPr="000F777E" w:rsidRDefault="000F777E" w:rsidP="000F777E">
                  <w:pPr>
                    <w:spacing w:line="240" w:lineRule="auto"/>
                    <w:rPr>
                      <w:b/>
                    </w:rPr>
                  </w:pPr>
                  <w:r w:rsidRPr="009E57FF">
                    <w:rPr>
                      <w:b/>
                      <w:bCs/>
                      <w:color w:val="4472C4" w:themeColor="accent1"/>
                    </w:rPr>
                    <w:t>EUR 1 000 000</w:t>
                  </w:r>
                  <w:r w:rsidRPr="000F777E">
                    <w:rPr>
                      <w:b/>
                    </w:rPr>
                    <w:t xml:space="preserve"> </w:t>
                  </w:r>
                </w:p>
              </w:tc>
            </w:tr>
          </w:tbl>
          <w:p w14:paraId="2FCF4C8D" w14:textId="77777777" w:rsidR="000F777E" w:rsidRPr="000F777E" w:rsidRDefault="000F777E" w:rsidP="000F777E">
            <w:pPr>
              <w:rPr>
                <w:b w:val="0"/>
                <w:bCs w:val="0"/>
              </w:rPr>
            </w:pPr>
            <w:r w:rsidRPr="000F777E">
              <w:rPr>
                <w:b w:val="0"/>
                <w:bCs w:val="0"/>
              </w:rPr>
              <w:t xml:space="preserve">The expenditure declared by the beneficiary is checked by the managing authority. Ineligible expenditure is found in the direct staff costs declared. </w:t>
            </w:r>
          </w:p>
          <w:p w14:paraId="3EB8962A" w14:textId="77777777" w:rsidR="000F777E" w:rsidRPr="000F777E" w:rsidRDefault="000F777E" w:rsidP="000F777E">
            <w:pPr>
              <w:rPr>
                <w:b w:val="0"/>
                <w:bCs w:val="0"/>
              </w:rPr>
            </w:pPr>
            <w:r w:rsidRPr="000F777E">
              <w:rPr>
                <w:b w:val="0"/>
                <w:bCs w:val="0"/>
              </w:rPr>
              <w:t>The accepted payment claim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375"/>
            </w:tblGrid>
            <w:tr w:rsidR="000F777E" w:rsidRPr="000F777E" w14:paraId="6068EC7A" w14:textId="77777777">
              <w:tc>
                <w:tcPr>
                  <w:tcW w:w="4505" w:type="dxa"/>
                  <w:tcBorders>
                    <w:top w:val="single" w:sz="12" w:space="0" w:color="auto"/>
                    <w:left w:val="single" w:sz="12" w:space="0" w:color="auto"/>
                    <w:bottom w:val="single" w:sz="12" w:space="0" w:color="auto"/>
                    <w:right w:val="single" w:sz="8" w:space="0" w:color="auto"/>
                  </w:tcBorders>
                  <w:shd w:val="clear" w:color="auto" w:fill="auto"/>
                </w:tcPr>
                <w:p w14:paraId="4A659409" w14:textId="77777777" w:rsidR="000F777E" w:rsidRPr="000F777E" w:rsidRDefault="000F777E" w:rsidP="000F777E">
                  <w:pPr>
                    <w:spacing w:line="240" w:lineRule="auto"/>
                  </w:pPr>
                  <w:r w:rsidRPr="009E57FF">
                    <w:rPr>
                      <w:b/>
                      <w:bCs/>
                      <w:color w:val="4472C4" w:themeColor="accent1"/>
                    </w:rPr>
                    <w:lastRenderedPageBreak/>
                    <w:t>Project 1: work</w:t>
                  </w:r>
                  <w:r w:rsidRPr="000F777E">
                    <w:t xml:space="preserve"> (public procurement procedure)</w:t>
                  </w:r>
                </w:p>
              </w:tc>
              <w:tc>
                <w:tcPr>
                  <w:tcW w:w="4506" w:type="dxa"/>
                  <w:tcBorders>
                    <w:top w:val="single" w:sz="12" w:space="0" w:color="auto"/>
                    <w:left w:val="single" w:sz="8" w:space="0" w:color="auto"/>
                    <w:bottom w:val="single" w:sz="12" w:space="0" w:color="auto"/>
                    <w:right w:val="single" w:sz="12" w:space="0" w:color="auto"/>
                  </w:tcBorders>
                  <w:shd w:val="clear" w:color="auto" w:fill="auto"/>
                </w:tcPr>
                <w:p w14:paraId="35ED01C0" w14:textId="77777777" w:rsidR="000F777E" w:rsidRPr="000F777E" w:rsidRDefault="000F777E" w:rsidP="000F777E">
                  <w:pPr>
                    <w:spacing w:line="240" w:lineRule="auto"/>
                    <w:rPr>
                      <w:b/>
                    </w:rPr>
                  </w:pPr>
                  <w:r w:rsidRPr="009E57FF">
                    <w:rPr>
                      <w:b/>
                      <w:bCs/>
                      <w:color w:val="4472C4" w:themeColor="accent1"/>
                    </w:rPr>
                    <w:t>EUR 700 000</w:t>
                  </w:r>
                </w:p>
              </w:tc>
            </w:tr>
            <w:tr w:rsidR="000F777E" w:rsidRPr="000F777E" w14:paraId="3CEDC6F5" w14:textId="77777777">
              <w:tc>
                <w:tcPr>
                  <w:tcW w:w="4505" w:type="dxa"/>
                  <w:tcBorders>
                    <w:top w:val="single" w:sz="12" w:space="0" w:color="auto"/>
                    <w:left w:val="single" w:sz="12" w:space="0" w:color="auto"/>
                  </w:tcBorders>
                  <w:shd w:val="clear" w:color="auto" w:fill="auto"/>
                </w:tcPr>
                <w:p w14:paraId="3444FA55" w14:textId="77777777" w:rsidR="000F777E" w:rsidRPr="000F777E" w:rsidRDefault="000F777E" w:rsidP="000F777E">
                  <w:pPr>
                    <w:spacing w:line="240" w:lineRule="auto"/>
                    <w:rPr>
                      <w:b/>
                    </w:rPr>
                  </w:pPr>
                  <w:r w:rsidRPr="009E57FF">
                    <w:rPr>
                      <w:b/>
                      <w:bCs/>
                      <w:color w:val="4472C4" w:themeColor="accent1"/>
                    </w:rPr>
                    <w:t>Project 2: other costs:</w:t>
                  </w:r>
                  <w:r w:rsidRPr="000F777E">
                    <w:rPr>
                      <w:b/>
                    </w:rPr>
                    <w:t xml:space="preserve"> </w:t>
                  </w:r>
                </w:p>
              </w:tc>
              <w:tc>
                <w:tcPr>
                  <w:tcW w:w="4506" w:type="dxa"/>
                  <w:tcBorders>
                    <w:top w:val="single" w:sz="12" w:space="0" w:color="auto"/>
                    <w:right w:val="single" w:sz="12" w:space="0" w:color="auto"/>
                  </w:tcBorders>
                  <w:shd w:val="clear" w:color="auto" w:fill="auto"/>
                </w:tcPr>
                <w:p w14:paraId="55446BF0" w14:textId="00C8EB8A" w:rsidR="000F777E" w:rsidRPr="000F777E" w:rsidRDefault="000F777E" w:rsidP="000F777E">
                  <w:pPr>
                    <w:spacing w:line="240" w:lineRule="auto"/>
                    <w:rPr>
                      <w:b/>
                    </w:rPr>
                  </w:pPr>
                  <w:r w:rsidRPr="009E57FF">
                    <w:rPr>
                      <w:b/>
                      <w:bCs/>
                      <w:color w:val="4472C4" w:themeColor="accent1"/>
                    </w:rPr>
                    <w:t>EUR 288 500</w:t>
                  </w:r>
                </w:p>
              </w:tc>
            </w:tr>
            <w:tr w:rsidR="000F777E" w:rsidRPr="000F777E" w14:paraId="135401C9" w14:textId="77777777">
              <w:tc>
                <w:tcPr>
                  <w:tcW w:w="4505" w:type="dxa"/>
                  <w:tcBorders>
                    <w:left w:val="single" w:sz="12" w:space="0" w:color="auto"/>
                  </w:tcBorders>
                  <w:shd w:val="clear" w:color="auto" w:fill="auto"/>
                </w:tcPr>
                <w:p w14:paraId="08F666A5" w14:textId="77777777" w:rsidR="000F777E" w:rsidRPr="000F777E" w:rsidRDefault="000F777E" w:rsidP="000F777E">
                  <w:pPr>
                    <w:spacing w:line="240" w:lineRule="auto"/>
                    <w:rPr>
                      <w:i/>
                    </w:rPr>
                  </w:pPr>
                  <w:r w:rsidRPr="000F777E">
                    <w:rPr>
                      <w:i/>
                    </w:rPr>
                    <w:t>Direct staff costs (type 1)</w:t>
                  </w:r>
                </w:p>
              </w:tc>
              <w:tc>
                <w:tcPr>
                  <w:tcW w:w="4506" w:type="dxa"/>
                  <w:tcBorders>
                    <w:right w:val="single" w:sz="12" w:space="0" w:color="auto"/>
                  </w:tcBorders>
                  <w:shd w:val="clear" w:color="auto" w:fill="auto"/>
                </w:tcPr>
                <w:p w14:paraId="6FCC7FE9" w14:textId="64330830" w:rsidR="000F777E" w:rsidRPr="000F777E" w:rsidRDefault="000F777E" w:rsidP="000F777E">
                  <w:pPr>
                    <w:spacing w:line="240" w:lineRule="auto"/>
                    <w:rPr>
                      <w:i/>
                    </w:rPr>
                  </w:pPr>
                  <w:r w:rsidRPr="000F777E">
                    <w:rPr>
                      <w:i/>
                    </w:rPr>
                    <w:t xml:space="preserve">EUR </w:t>
                  </w:r>
                  <w:r w:rsidRPr="000F777E">
                    <w:rPr>
                      <w:bCs/>
                      <w:i/>
                    </w:rPr>
                    <w:t>40 000</w:t>
                  </w:r>
                </w:p>
              </w:tc>
            </w:tr>
            <w:tr w:rsidR="000F777E" w:rsidRPr="000F777E" w14:paraId="410C6BFA" w14:textId="77777777">
              <w:tc>
                <w:tcPr>
                  <w:tcW w:w="4505" w:type="dxa"/>
                  <w:tcBorders>
                    <w:left w:val="single" w:sz="12" w:space="0" w:color="auto"/>
                  </w:tcBorders>
                  <w:shd w:val="clear" w:color="auto" w:fill="auto"/>
                </w:tcPr>
                <w:p w14:paraId="18D5447A" w14:textId="77777777" w:rsidR="000F777E" w:rsidRPr="000F777E" w:rsidRDefault="000F777E" w:rsidP="000F777E">
                  <w:pPr>
                    <w:spacing w:line="240" w:lineRule="auto"/>
                    <w:rPr>
                      <w:i/>
                    </w:rPr>
                  </w:pPr>
                  <w:r w:rsidRPr="000F777E">
                    <w:rPr>
                      <w:i/>
                    </w:rPr>
                    <w:t>Other directs costs (type 3)</w:t>
                  </w:r>
                </w:p>
              </w:tc>
              <w:tc>
                <w:tcPr>
                  <w:tcW w:w="4506" w:type="dxa"/>
                  <w:tcBorders>
                    <w:right w:val="single" w:sz="12" w:space="0" w:color="auto"/>
                  </w:tcBorders>
                  <w:shd w:val="clear" w:color="auto" w:fill="auto"/>
                </w:tcPr>
                <w:p w14:paraId="48B0C899" w14:textId="77777777" w:rsidR="000F777E" w:rsidRPr="000F777E" w:rsidRDefault="000F777E" w:rsidP="000F777E">
                  <w:pPr>
                    <w:spacing w:line="240" w:lineRule="auto"/>
                    <w:rPr>
                      <w:i/>
                    </w:rPr>
                  </w:pPr>
                  <w:r w:rsidRPr="000F777E">
                    <w:rPr>
                      <w:i/>
                    </w:rPr>
                    <w:t>EUR 242 500</w:t>
                  </w:r>
                </w:p>
              </w:tc>
            </w:tr>
            <w:tr w:rsidR="000F777E" w:rsidRPr="000F777E" w14:paraId="20C55F62" w14:textId="77777777">
              <w:tc>
                <w:tcPr>
                  <w:tcW w:w="4505" w:type="dxa"/>
                  <w:tcBorders>
                    <w:left w:val="single" w:sz="12" w:space="0" w:color="auto"/>
                    <w:bottom w:val="single" w:sz="12" w:space="0" w:color="auto"/>
                  </w:tcBorders>
                  <w:shd w:val="clear" w:color="auto" w:fill="auto"/>
                </w:tcPr>
                <w:p w14:paraId="149719DC" w14:textId="77777777" w:rsidR="000F777E" w:rsidRPr="000F777E" w:rsidRDefault="000F777E" w:rsidP="000F777E">
                  <w:pPr>
                    <w:spacing w:line="240" w:lineRule="auto"/>
                    <w:rPr>
                      <w:i/>
                    </w:rPr>
                  </w:pPr>
                  <w:r w:rsidRPr="000F777E">
                    <w:rPr>
                      <w:i/>
                    </w:rPr>
                    <w:t>Indirect costs (type 2)</w:t>
                  </w:r>
                </w:p>
              </w:tc>
              <w:tc>
                <w:tcPr>
                  <w:tcW w:w="4506" w:type="dxa"/>
                  <w:tcBorders>
                    <w:bottom w:val="single" w:sz="12" w:space="0" w:color="auto"/>
                    <w:right w:val="single" w:sz="12" w:space="0" w:color="auto"/>
                  </w:tcBorders>
                  <w:shd w:val="clear" w:color="auto" w:fill="auto"/>
                </w:tcPr>
                <w:p w14:paraId="03C7BDB4" w14:textId="3F6B346E" w:rsidR="000F777E" w:rsidRPr="000F777E" w:rsidRDefault="000F777E" w:rsidP="000F777E">
                  <w:pPr>
                    <w:spacing w:line="240" w:lineRule="auto"/>
                    <w:rPr>
                      <w:i/>
                    </w:rPr>
                  </w:pPr>
                  <w:r w:rsidRPr="000F777E">
                    <w:rPr>
                      <w:i/>
                    </w:rPr>
                    <w:t xml:space="preserve">Direct staff costs x 15% = </w:t>
                  </w:r>
                  <w:r w:rsidRPr="00EF72F8">
                    <w:rPr>
                      <w:b/>
                      <w:bCs/>
                      <w:color w:val="4472C4" w:themeColor="accent1"/>
                    </w:rPr>
                    <w:t>EUR 6 000</w:t>
                  </w:r>
                </w:p>
              </w:tc>
            </w:tr>
            <w:tr w:rsidR="000F777E" w:rsidRPr="000F777E" w14:paraId="75F322AF" w14:textId="77777777">
              <w:tc>
                <w:tcPr>
                  <w:tcW w:w="4505" w:type="dxa"/>
                  <w:tcBorders>
                    <w:top w:val="single" w:sz="12" w:space="0" w:color="auto"/>
                    <w:left w:val="single" w:sz="12" w:space="0" w:color="auto"/>
                    <w:bottom w:val="single" w:sz="12" w:space="0" w:color="auto"/>
                  </w:tcBorders>
                  <w:shd w:val="clear" w:color="auto" w:fill="auto"/>
                </w:tcPr>
                <w:p w14:paraId="4EE906E5" w14:textId="77777777" w:rsidR="000F777E" w:rsidRPr="000F777E" w:rsidRDefault="000F777E" w:rsidP="000F777E">
                  <w:pPr>
                    <w:spacing w:line="240" w:lineRule="auto"/>
                    <w:rPr>
                      <w:b/>
                    </w:rPr>
                  </w:pPr>
                  <w:r w:rsidRPr="009E57FF">
                    <w:rPr>
                      <w:b/>
                      <w:bCs/>
                      <w:color w:val="4472C4" w:themeColor="accent1"/>
                    </w:rPr>
                    <w:t>Total eligible costs after pro rata deduction:</w:t>
                  </w:r>
                  <w:r w:rsidRPr="000F777E">
                    <w:rPr>
                      <w:b/>
                    </w:rPr>
                    <w:t xml:space="preserve"> </w:t>
                  </w:r>
                </w:p>
              </w:tc>
              <w:tc>
                <w:tcPr>
                  <w:tcW w:w="4506" w:type="dxa"/>
                  <w:tcBorders>
                    <w:top w:val="single" w:sz="12" w:space="0" w:color="auto"/>
                    <w:bottom w:val="single" w:sz="12" w:space="0" w:color="auto"/>
                    <w:right w:val="single" w:sz="12" w:space="0" w:color="auto"/>
                  </w:tcBorders>
                  <w:shd w:val="clear" w:color="auto" w:fill="auto"/>
                </w:tcPr>
                <w:p w14:paraId="5CBA664B" w14:textId="53B8D2C0" w:rsidR="000F777E" w:rsidRPr="000F777E" w:rsidRDefault="000F777E" w:rsidP="000F777E">
                  <w:pPr>
                    <w:spacing w:line="240" w:lineRule="auto"/>
                    <w:rPr>
                      <w:b/>
                    </w:rPr>
                  </w:pPr>
                  <w:r w:rsidRPr="009E57FF">
                    <w:rPr>
                      <w:b/>
                      <w:bCs/>
                      <w:color w:val="4472C4" w:themeColor="accent1"/>
                    </w:rPr>
                    <w:t>EUR 988 500</w:t>
                  </w:r>
                </w:p>
              </w:tc>
            </w:tr>
          </w:tbl>
          <w:p w14:paraId="1B9341FD" w14:textId="77777777" w:rsidR="000F777E" w:rsidRDefault="000F777E" w:rsidP="00410A64"/>
        </w:tc>
      </w:tr>
    </w:tbl>
    <w:p w14:paraId="4272319A" w14:textId="77777777" w:rsidR="00671909" w:rsidRDefault="00671909" w:rsidP="00B32403">
      <w:pPr>
        <w:rPr>
          <w:b/>
          <w:bCs/>
        </w:rPr>
      </w:pPr>
    </w:p>
    <w:tbl>
      <w:tblPr>
        <w:tblStyle w:val="GridTable4-Accent1"/>
        <w:tblW w:w="0" w:type="auto"/>
        <w:tblLook w:val="04A0" w:firstRow="1" w:lastRow="0" w:firstColumn="1" w:lastColumn="0" w:noHBand="0" w:noVBand="1"/>
      </w:tblPr>
      <w:tblGrid>
        <w:gridCol w:w="9016"/>
      </w:tblGrid>
      <w:tr w:rsidR="00671909" w14:paraId="1C6DE3E2" w14:textId="77777777" w:rsidTr="00C611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43FB580E" w14:textId="4405E80B" w:rsidR="00671909" w:rsidRPr="00671909" w:rsidRDefault="00671909" w:rsidP="00B32403">
            <w:r w:rsidRPr="00671909">
              <w:t>Example 2: ESF+</w:t>
            </w:r>
          </w:p>
        </w:tc>
      </w:tr>
      <w:tr w:rsidR="00671909" w14:paraId="388B183C" w14:textId="77777777" w:rsidTr="00C611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3A4756EA" w14:textId="77777777" w:rsidR="00671909" w:rsidRPr="00C61107" w:rsidRDefault="00671909" w:rsidP="00671909">
            <w:pPr>
              <w:rPr>
                <w:b w:val="0"/>
                <w:bCs w:val="0"/>
              </w:rPr>
            </w:pPr>
            <w:r w:rsidRPr="00C61107">
              <w:rPr>
                <w:b w:val="0"/>
                <w:bCs w:val="0"/>
              </w:rPr>
              <w:t xml:space="preserve">A unit cost of EUR 5 000 is paid for every trainee completing training. </w:t>
            </w:r>
          </w:p>
          <w:p w14:paraId="5DDE0F25" w14:textId="77777777" w:rsidR="00671909" w:rsidRPr="00C61107" w:rsidRDefault="00671909" w:rsidP="00671909">
            <w:pPr>
              <w:rPr>
                <w:b w:val="0"/>
                <w:bCs w:val="0"/>
              </w:rPr>
            </w:pPr>
            <w:r w:rsidRPr="00C61107">
              <w:rPr>
                <w:b w:val="0"/>
                <w:bCs w:val="0"/>
              </w:rPr>
              <w:t>The training starts in January, finishes in June and 20 people are expected to attend. The amount of the expected eligible expenditure is 20 x EUR 5 000 = EUR 100 000. Every month the training provider sends an invoice corresponding to 10 % of the grant: EUR 10 000 at the end of January, EUR 10 000 at the end of February, etc.</w:t>
            </w:r>
          </w:p>
          <w:p w14:paraId="3ECC23ED" w14:textId="0F0CFF7D" w:rsidR="00671909" w:rsidRDefault="00671909" w:rsidP="00671909">
            <w:r w:rsidRPr="00C61107">
              <w:rPr>
                <w:b w:val="0"/>
                <w:bCs w:val="0"/>
              </w:rPr>
              <w:t xml:space="preserve">However, given that no trainee has completed the training before the end of June, these payments cannot be declared to the Commission. </w:t>
            </w:r>
            <w:r w:rsidRPr="005B7912">
              <w:rPr>
                <w:color w:val="4472C4" w:themeColor="accent1"/>
              </w:rPr>
              <w:t>Only after it is demonstrated that some people have completed the training the relevant expenditure can be declared to the Commission</w:t>
            </w:r>
            <w:r w:rsidRPr="00C61107">
              <w:t>:</w:t>
            </w:r>
            <w:r w:rsidRPr="00DB3183">
              <w:t xml:space="preserve"> </w:t>
            </w:r>
            <w:r w:rsidRPr="00C61107">
              <w:rPr>
                <w:b w:val="0"/>
                <w:bCs w:val="0"/>
              </w:rPr>
              <w:t>for instance, if 15 people have completed the training then 15 x EUR 5 000 = EUR 75 000 may be declared to the Commission</w:t>
            </w:r>
          </w:p>
        </w:tc>
      </w:tr>
    </w:tbl>
    <w:p w14:paraId="5133D11C" w14:textId="7015D87C" w:rsidR="00EB0ABF" w:rsidRPr="00EB0ABF" w:rsidRDefault="00EB0ABF" w:rsidP="00B32403"/>
    <w:p w14:paraId="119FD5C2" w14:textId="7168DBBC" w:rsidR="00221B29" w:rsidRDefault="00221B29">
      <w:pPr>
        <w:spacing w:before="0" w:after="200"/>
      </w:pPr>
      <w:r>
        <w:br w:type="page"/>
      </w:r>
    </w:p>
    <w:p w14:paraId="06EC5B21" w14:textId="77777777" w:rsidR="00221B29" w:rsidRPr="00D04BB1" w:rsidRDefault="00221B29" w:rsidP="00D04BB1">
      <w:pPr>
        <w:pStyle w:val="Heading1"/>
        <w:rPr>
          <w:color w:val="4472C4" w:themeColor="accent1"/>
        </w:rPr>
      </w:pPr>
      <w:bookmarkStart w:id="76" w:name="_Toc353547017"/>
      <w:bookmarkStart w:id="77" w:name="_Toc380657029"/>
      <w:bookmarkStart w:id="78" w:name="_Ref381004024"/>
      <w:bookmarkStart w:id="79" w:name="_Toc29204411"/>
      <w:bookmarkStart w:id="80" w:name="_Toc159236862"/>
      <w:bookmarkStart w:id="81" w:name="_Toc168350340"/>
      <w:r w:rsidRPr="00D04BB1">
        <w:rPr>
          <w:color w:val="4472C4" w:themeColor="accent1"/>
        </w:rPr>
        <w:lastRenderedPageBreak/>
        <w:t>Annex 1: Examples of simplified cost options</w:t>
      </w:r>
      <w:bookmarkEnd w:id="76"/>
      <w:bookmarkEnd w:id="77"/>
      <w:bookmarkEnd w:id="78"/>
      <w:bookmarkEnd w:id="79"/>
      <w:bookmarkEnd w:id="80"/>
      <w:bookmarkEnd w:id="81"/>
      <w:r w:rsidRPr="00D04BB1">
        <w:rPr>
          <w:color w:val="4472C4" w:themeColor="accent1"/>
        </w:rPr>
        <w:t xml:space="preserve"> </w:t>
      </w:r>
    </w:p>
    <w:p w14:paraId="64EA3254" w14:textId="77777777" w:rsidR="00221B29" w:rsidRPr="00221B29" w:rsidRDefault="00221B29" w:rsidP="00221B29">
      <w:r w:rsidRPr="00221B29">
        <w:t xml:space="preserve">This annex provides the example of a grant to a beneficiary that intends to </w:t>
      </w:r>
      <w:r w:rsidRPr="00D04BB1">
        <w:rPr>
          <w:b/>
          <w:color w:val="4472C4" w:themeColor="accent1"/>
        </w:rPr>
        <w:t>organise a seminar for 50 participants</w:t>
      </w:r>
      <w:r w:rsidRPr="00D04BB1">
        <w:rPr>
          <w:color w:val="4472C4" w:themeColor="accent1"/>
        </w:rPr>
        <w:t xml:space="preserve"> </w:t>
      </w:r>
      <w:r w:rsidRPr="00221B29">
        <w:t>to present new implementation tools. Staff spend time on planning and organising the event, a venue is rented, some speakers come from abroad, and minutes of the event will have to be published. There are also indirect costs relating to staff (accounting costs, director, etc.) and electricity, phone bills, IT support, etc.</w:t>
      </w:r>
    </w:p>
    <w:p w14:paraId="2E164074" w14:textId="35EEB4D0" w:rsidR="00221B29" w:rsidRPr="00221B29" w:rsidRDefault="00221B29" w:rsidP="00221B29">
      <w:r w:rsidRPr="00221B29">
        <w:t>The draft budget in ‘real costs’ is as follows, and its form will be kept for all the possibilities and options so that the differences can be more clearly seen:</w:t>
      </w:r>
    </w:p>
    <w:tbl>
      <w:tblPr>
        <w:tblW w:w="5000" w:type="pct"/>
        <w:tblLook w:val="04A0" w:firstRow="1" w:lastRow="0" w:firstColumn="1" w:lastColumn="0" w:noHBand="0" w:noVBand="1"/>
      </w:tblPr>
      <w:tblGrid>
        <w:gridCol w:w="3124"/>
        <w:gridCol w:w="1172"/>
        <w:gridCol w:w="857"/>
        <w:gridCol w:w="2826"/>
        <w:gridCol w:w="1037"/>
      </w:tblGrid>
      <w:tr w:rsidR="00221B29" w:rsidRPr="00221B29" w14:paraId="6ACBDD2F" w14:textId="77777777">
        <w:trPr>
          <w:trHeight w:val="300"/>
        </w:trPr>
        <w:tc>
          <w:tcPr>
            <w:tcW w:w="17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B35CF6" w14:textId="77777777" w:rsidR="00221B29" w:rsidRPr="00221B29" w:rsidRDefault="00221B29" w:rsidP="00221B29">
            <w:pPr>
              <w:rPr>
                <w:i/>
                <w:iCs/>
              </w:rPr>
            </w:pPr>
            <w:r w:rsidRPr="00221B29">
              <w:rPr>
                <w:i/>
                <w:iCs/>
              </w:rPr>
              <w:t>Total Direct costs</w:t>
            </w:r>
          </w:p>
        </w:tc>
        <w:tc>
          <w:tcPr>
            <w:tcW w:w="650" w:type="pct"/>
            <w:tcBorders>
              <w:top w:val="single" w:sz="4" w:space="0" w:color="auto"/>
              <w:left w:val="nil"/>
              <w:bottom w:val="single" w:sz="4" w:space="0" w:color="auto"/>
              <w:right w:val="single" w:sz="4" w:space="0" w:color="auto"/>
            </w:tcBorders>
            <w:shd w:val="clear" w:color="auto" w:fill="auto"/>
            <w:noWrap/>
            <w:vAlign w:val="bottom"/>
            <w:hideMark/>
          </w:tcPr>
          <w:p w14:paraId="4A021365" w14:textId="77777777" w:rsidR="00221B29" w:rsidRPr="00221B29" w:rsidRDefault="00221B29" w:rsidP="00221B29">
            <w:pPr>
              <w:rPr>
                <w:i/>
                <w:iCs/>
              </w:rPr>
            </w:pPr>
            <w:r w:rsidRPr="00221B29">
              <w:rPr>
                <w:i/>
                <w:iCs/>
              </w:rPr>
              <w:t>135 000</w:t>
            </w:r>
          </w:p>
        </w:tc>
        <w:tc>
          <w:tcPr>
            <w:tcW w:w="475" w:type="pct"/>
            <w:tcBorders>
              <w:left w:val="single" w:sz="4" w:space="0" w:color="auto"/>
              <w:right w:val="single" w:sz="4" w:space="0" w:color="auto"/>
            </w:tcBorders>
          </w:tcPr>
          <w:p w14:paraId="4CAEF537" w14:textId="77777777" w:rsidR="00221B29" w:rsidRPr="00221B29" w:rsidRDefault="00221B29" w:rsidP="00221B29">
            <w:pPr>
              <w:rPr>
                <w:i/>
                <w:iCs/>
              </w:rPr>
            </w:pPr>
          </w:p>
        </w:tc>
        <w:tc>
          <w:tcPr>
            <w:tcW w:w="1567" w:type="pct"/>
            <w:tcBorders>
              <w:top w:val="single" w:sz="4" w:space="0" w:color="auto"/>
              <w:left w:val="single" w:sz="4" w:space="0" w:color="auto"/>
              <w:bottom w:val="single" w:sz="4" w:space="0" w:color="auto"/>
              <w:right w:val="single" w:sz="4" w:space="0" w:color="auto"/>
            </w:tcBorders>
            <w:vAlign w:val="bottom"/>
          </w:tcPr>
          <w:p w14:paraId="6F020B8E" w14:textId="77777777" w:rsidR="00221B29" w:rsidRPr="00221B29" w:rsidRDefault="00221B29" w:rsidP="00221B29">
            <w:pPr>
              <w:rPr>
                <w:i/>
              </w:rPr>
            </w:pPr>
            <w:r w:rsidRPr="00221B29">
              <w:rPr>
                <w:i/>
              </w:rPr>
              <w:t>Total Indirect costs</w:t>
            </w:r>
          </w:p>
        </w:tc>
        <w:tc>
          <w:tcPr>
            <w:tcW w:w="575" w:type="pct"/>
            <w:tcBorders>
              <w:top w:val="single" w:sz="4" w:space="0" w:color="auto"/>
              <w:left w:val="nil"/>
              <w:bottom w:val="single" w:sz="4" w:space="0" w:color="auto"/>
              <w:right w:val="single" w:sz="4" w:space="0" w:color="auto"/>
            </w:tcBorders>
            <w:vAlign w:val="bottom"/>
          </w:tcPr>
          <w:p w14:paraId="3C8238DA" w14:textId="77777777" w:rsidR="00221B29" w:rsidRPr="00221B29" w:rsidRDefault="00221B29" w:rsidP="00221B29">
            <w:pPr>
              <w:rPr>
                <w:i/>
              </w:rPr>
            </w:pPr>
            <w:r w:rsidRPr="00221B29">
              <w:rPr>
                <w:i/>
              </w:rPr>
              <w:t>15 000</w:t>
            </w:r>
          </w:p>
        </w:tc>
      </w:tr>
      <w:tr w:rsidR="00221B29" w:rsidRPr="00221B29" w14:paraId="35296E6F" w14:textId="77777777">
        <w:trPr>
          <w:trHeight w:val="300"/>
        </w:trPr>
        <w:tc>
          <w:tcPr>
            <w:tcW w:w="1733" w:type="pct"/>
            <w:tcBorders>
              <w:top w:val="nil"/>
              <w:left w:val="single" w:sz="4" w:space="0" w:color="auto"/>
              <w:bottom w:val="nil"/>
              <w:right w:val="single" w:sz="4" w:space="0" w:color="auto"/>
            </w:tcBorders>
            <w:shd w:val="clear" w:color="auto" w:fill="auto"/>
            <w:noWrap/>
            <w:vAlign w:val="bottom"/>
            <w:hideMark/>
          </w:tcPr>
          <w:p w14:paraId="29F133AF" w14:textId="77777777" w:rsidR="00221B29" w:rsidRPr="00221B29" w:rsidRDefault="00221B29" w:rsidP="00221B29">
            <w:r w:rsidRPr="00221B29">
              <w:t>Direct staff costs</w:t>
            </w:r>
          </w:p>
        </w:tc>
        <w:tc>
          <w:tcPr>
            <w:tcW w:w="650" w:type="pct"/>
            <w:tcBorders>
              <w:top w:val="single" w:sz="4" w:space="0" w:color="auto"/>
              <w:left w:val="nil"/>
              <w:bottom w:val="nil"/>
              <w:right w:val="single" w:sz="4" w:space="0" w:color="auto"/>
            </w:tcBorders>
            <w:shd w:val="clear" w:color="auto" w:fill="auto"/>
            <w:noWrap/>
            <w:vAlign w:val="bottom"/>
            <w:hideMark/>
          </w:tcPr>
          <w:p w14:paraId="255891B9" w14:textId="77777777" w:rsidR="00221B29" w:rsidRPr="00221B29" w:rsidRDefault="00221B29" w:rsidP="00221B29">
            <w:r w:rsidRPr="00221B29">
              <w:t>90 000</w:t>
            </w:r>
          </w:p>
        </w:tc>
        <w:tc>
          <w:tcPr>
            <w:tcW w:w="475" w:type="pct"/>
            <w:tcBorders>
              <w:left w:val="nil"/>
              <w:bottom w:val="nil"/>
              <w:right w:val="single" w:sz="4" w:space="0" w:color="auto"/>
            </w:tcBorders>
          </w:tcPr>
          <w:p w14:paraId="51DB352E" w14:textId="77777777" w:rsidR="00221B29" w:rsidRPr="00221B29" w:rsidRDefault="00221B29" w:rsidP="00221B29"/>
        </w:tc>
        <w:tc>
          <w:tcPr>
            <w:tcW w:w="1567" w:type="pct"/>
            <w:tcBorders>
              <w:top w:val="single" w:sz="4" w:space="0" w:color="auto"/>
              <w:left w:val="single" w:sz="4" w:space="0" w:color="auto"/>
              <w:bottom w:val="nil"/>
              <w:right w:val="single" w:sz="4" w:space="0" w:color="auto"/>
            </w:tcBorders>
            <w:vAlign w:val="bottom"/>
          </w:tcPr>
          <w:p w14:paraId="619410C8" w14:textId="77777777" w:rsidR="00221B29" w:rsidRPr="00221B29" w:rsidRDefault="00221B29" w:rsidP="00221B29">
            <w:r w:rsidRPr="00221B29">
              <w:t>Indirect staff costs</w:t>
            </w:r>
          </w:p>
        </w:tc>
        <w:tc>
          <w:tcPr>
            <w:tcW w:w="575" w:type="pct"/>
            <w:tcBorders>
              <w:top w:val="single" w:sz="4" w:space="0" w:color="auto"/>
              <w:left w:val="single" w:sz="4" w:space="0" w:color="auto"/>
              <w:bottom w:val="nil"/>
              <w:right w:val="single" w:sz="4" w:space="0" w:color="auto"/>
            </w:tcBorders>
            <w:vAlign w:val="bottom"/>
          </w:tcPr>
          <w:p w14:paraId="0854B827" w14:textId="77777777" w:rsidR="00221B29" w:rsidRPr="00221B29" w:rsidRDefault="00221B29" w:rsidP="00221B29">
            <w:r w:rsidRPr="00221B29">
              <w:t>12 000</w:t>
            </w:r>
          </w:p>
        </w:tc>
      </w:tr>
      <w:tr w:rsidR="00221B29" w:rsidRPr="00221B29" w14:paraId="7A3BC978" w14:textId="77777777">
        <w:trPr>
          <w:trHeight w:val="300"/>
        </w:trPr>
        <w:tc>
          <w:tcPr>
            <w:tcW w:w="1733" w:type="pct"/>
            <w:tcBorders>
              <w:top w:val="nil"/>
              <w:left w:val="single" w:sz="4" w:space="0" w:color="auto"/>
              <w:bottom w:val="nil"/>
              <w:right w:val="single" w:sz="4" w:space="0" w:color="auto"/>
            </w:tcBorders>
            <w:shd w:val="clear" w:color="auto" w:fill="auto"/>
            <w:noWrap/>
            <w:vAlign w:val="bottom"/>
            <w:hideMark/>
          </w:tcPr>
          <w:p w14:paraId="117E6FFE" w14:textId="77777777" w:rsidR="00221B29" w:rsidRPr="00221B29" w:rsidRDefault="00221B29" w:rsidP="00221B29">
            <w:r w:rsidRPr="00221B29">
              <w:t>Room costs</w:t>
            </w:r>
          </w:p>
        </w:tc>
        <w:tc>
          <w:tcPr>
            <w:tcW w:w="650" w:type="pct"/>
            <w:tcBorders>
              <w:top w:val="nil"/>
              <w:left w:val="nil"/>
              <w:bottom w:val="nil"/>
              <w:right w:val="single" w:sz="4" w:space="0" w:color="auto"/>
            </w:tcBorders>
            <w:shd w:val="clear" w:color="auto" w:fill="auto"/>
            <w:noWrap/>
            <w:vAlign w:val="bottom"/>
            <w:hideMark/>
          </w:tcPr>
          <w:p w14:paraId="3A9B2AAE" w14:textId="77777777" w:rsidR="00221B29" w:rsidRPr="00221B29" w:rsidRDefault="00221B29" w:rsidP="00221B29">
            <w:r w:rsidRPr="00221B29">
              <w:t>12 000</w:t>
            </w:r>
          </w:p>
        </w:tc>
        <w:tc>
          <w:tcPr>
            <w:tcW w:w="475" w:type="pct"/>
            <w:tcBorders>
              <w:top w:val="nil"/>
              <w:left w:val="nil"/>
              <w:bottom w:val="nil"/>
              <w:right w:val="single" w:sz="4" w:space="0" w:color="auto"/>
            </w:tcBorders>
          </w:tcPr>
          <w:p w14:paraId="6DC13305" w14:textId="77777777" w:rsidR="00221B29" w:rsidRPr="00221B29" w:rsidRDefault="00221B29" w:rsidP="00221B29"/>
        </w:tc>
        <w:tc>
          <w:tcPr>
            <w:tcW w:w="1567" w:type="pct"/>
            <w:tcBorders>
              <w:top w:val="nil"/>
              <w:left w:val="single" w:sz="4" w:space="0" w:color="auto"/>
              <w:bottom w:val="single" w:sz="4" w:space="0" w:color="auto"/>
              <w:right w:val="single" w:sz="4" w:space="0" w:color="auto"/>
            </w:tcBorders>
            <w:vAlign w:val="bottom"/>
          </w:tcPr>
          <w:p w14:paraId="27CF308B" w14:textId="77777777" w:rsidR="00221B29" w:rsidRPr="00221B29" w:rsidRDefault="00221B29" w:rsidP="00221B29">
            <w:r w:rsidRPr="00221B29">
              <w:t>Electricity, phone, etc.</w:t>
            </w:r>
          </w:p>
        </w:tc>
        <w:tc>
          <w:tcPr>
            <w:tcW w:w="575" w:type="pct"/>
            <w:tcBorders>
              <w:top w:val="nil"/>
              <w:left w:val="single" w:sz="4" w:space="0" w:color="auto"/>
              <w:bottom w:val="single" w:sz="4" w:space="0" w:color="auto"/>
              <w:right w:val="single" w:sz="4" w:space="0" w:color="auto"/>
            </w:tcBorders>
            <w:vAlign w:val="bottom"/>
          </w:tcPr>
          <w:p w14:paraId="5286035C" w14:textId="77777777" w:rsidR="00221B29" w:rsidRPr="00221B29" w:rsidRDefault="00221B29" w:rsidP="00221B29">
            <w:r w:rsidRPr="00221B29">
              <w:t>3 000</w:t>
            </w:r>
          </w:p>
        </w:tc>
      </w:tr>
      <w:tr w:rsidR="00221B29" w:rsidRPr="00221B29" w14:paraId="6BE2DF83" w14:textId="77777777">
        <w:trPr>
          <w:trHeight w:val="300"/>
        </w:trPr>
        <w:tc>
          <w:tcPr>
            <w:tcW w:w="1733" w:type="pct"/>
            <w:tcBorders>
              <w:top w:val="nil"/>
              <w:left w:val="single" w:sz="4" w:space="0" w:color="auto"/>
              <w:bottom w:val="nil"/>
              <w:right w:val="single" w:sz="4" w:space="0" w:color="auto"/>
            </w:tcBorders>
            <w:shd w:val="clear" w:color="auto" w:fill="auto"/>
            <w:noWrap/>
            <w:vAlign w:val="bottom"/>
            <w:hideMark/>
          </w:tcPr>
          <w:p w14:paraId="62ACF3C2" w14:textId="77777777" w:rsidR="00221B29" w:rsidRPr="00221B29" w:rsidRDefault="00221B29" w:rsidP="00221B29">
            <w:r w:rsidRPr="00221B29">
              <w:t>Travel costs</w:t>
            </w:r>
          </w:p>
        </w:tc>
        <w:tc>
          <w:tcPr>
            <w:tcW w:w="650" w:type="pct"/>
            <w:tcBorders>
              <w:top w:val="nil"/>
              <w:left w:val="nil"/>
              <w:bottom w:val="nil"/>
              <w:right w:val="single" w:sz="4" w:space="0" w:color="auto"/>
            </w:tcBorders>
            <w:shd w:val="clear" w:color="auto" w:fill="auto"/>
            <w:noWrap/>
            <w:vAlign w:val="bottom"/>
            <w:hideMark/>
          </w:tcPr>
          <w:p w14:paraId="20103A5C" w14:textId="77777777" w:rsidR="00221B29" w:rsidRPr="00221B29" w:rsidRDefault="00221B29" w:rsidP="00221B29">
            <w:r w:rsidRPr="00221B29">
              <w:t>15 000</w:t>
            </w:r>
          </w:p>
        </w:tc>
        <w:tc>
          <w:tcPr>
            <w:tcW w:w="475" w:type="pct"/>
            <w:tcBorders>
              <w:top w:val="nil"/>
              <w:left w:val="nil"/>
              <w:bottom w:val="nil"/>
            </w:tcBorders>
          </w:tcPr>
          <w:p w14:paraId="299BAFF1" w14:textId="77777777" w:rsidR="00221B29" w:rsidRPr="00221B29" w:rsidRDefault="00221B29" w:rsidP="00221B29"/>
        </w:tc>
        <w:tc>
          <w:tcPr>
            <w:tcW w:w="1567" w:type="pct"/>
            <w:tcBorders>
              <w:top w:val="single" w:sz="4" w:space="0" w:color="auto"/>
              <w:bottom w:val="nil"/>
            </w:tcBorders>
            <w:vAlign w:val="bottom"/>
          </w:tcPr>
          <w:p w14:paraId="54B98631" w14:textId="77777777" w:rsidR="00221B29" w:rsidRPr="00221B29" w:rsidRDefault="00221B29" w:rsidP="00221B29">
            <w:pPr>
              <w:rPr>
                <w:i/>
              </w:rPr>
            </w:pPr>
          </w:p>
        </w:tc>
        <w:tc>
          <w:tcPr>
            <w:tcW w:w="575" w:type="pct"/>
            <w:tcBorders>
              <w:top w:val="single" w:sz="4" w:space="0" w:color="auto"/>
              <w:bottom w:val="nil"/>
            </w:tcBorders>
            <w:vAlign w:val="bottom"/>
          </w:tcPr>
          <w:p w14:paraId="6C5DF73D" w14:textId="77777777" w:rsidR="00221B29" w:rsidRPr="00221B29" w:rsidRDefault="00221B29" w:rsidP="00221B29">
            <w:pPr>
              <w:rPr>
                <w:i/>
              </w:rPr>
            </w:pPr>
          </w:p>
        </w:tc>
      </w:tr>
      <w:tr w:rsidR="00221B29" w:rsidRPr="00221B29" w14:paraId="7A44531D" w14:textId="77777777">
        <w:trPr>
          <w:trHeight w:val="300"/>
        </w:trPr>
        <w:tc>
          <w:tcPr>
            <w:tcW w:w="1733" w:type="pct"/>
            <w:tcBorders>
              <w:top w:val="nil"/>
              <w:left w:val="single" w:sz="4" w:space="0" w:color="auto"/>
              <w:bottom w:val="nil"/>
              <w:right w:val="single" w:sz="4" w:space="0" w:color="auto"/>
            </w:tcBorders>
            <w:shd w:val="clear" w:color="auto" w:fill="auto"/>
            <w:noWrap/>
            <w:vAlign w:val="bottom"/>
            <w:hideMark/>
          </w:tcPr>
          <w:p w14:paraId="79A58445" w14:textId="77777777" w:rsidR="00221B29" w:rsidRPr="00221B29" w:rsidRDefault="00221B29" w:rsidP="00221B29">
            <w:r w:rsidRPr="00221B29">
              <w:t>Meals</w:t>
            </w:r>
          </w:p>
        </w:tc>
        <w:tc>
          <w:tcPr>
            <w:tcW w:w="650" w:type="pct"/>
            <w:tcBorders>
              <w:top w:val="nil"/>
              <w:left w:val="nil"/>
              <w:bottom w:val="nil"/>
              <w:right w:val="single" w:sz="4" w:space="0" w:color="auto"/>
            </w:tcBorders>
            <w:shd w:val="clear" w:color="auto" w:fill="auto"/>
            <w:noWrap/>
            <w:vAlign w:val="bottom"/>
            <w:hideMark/>
          </w:tcPr>
          <w:p w14:paraId="5DD0499E" w14:textId="77777777" w:rsidR="00221B29" w:rsidRPr="00221B29" w:rsidRDefault="00221B29" w:rsidP="00221B29">
            <w:r w:rsidRPr="00221B29">
              <w:t>3 000</w:t>
            </w:r>
          </w:p>
        </w:tc>
        <w:tc>
          <w:tcPr>
            <w:tcW w:w="475" w:type="pct"/>
            <w:tcBorders>
              <w:top w:val="nil"/>
              <w:left w:val="nil"/>
            </w:tcBorders>
          </w:tcPr>
          <w:p w14:paraId="1AA52AA9" w14:textId="77777777" w:rsidR="00221B29" w:rsidRPr="00221B29" w:rsidRDefault="00221B29" w:rsidP="00221B29"/>
        </w:tc>
        <w:tc>
          <w:tcPr>
            <w:tcW w:w="1567" w:type="pct"/>
            <w:tcBorders>
              <w:top w:val="nil"/>
              <w:bottom w:val="nil"/>
            </w:tcBorders>
            <w:vAlign w:val="bottom"/>
          </w:tcPr>
          <w:p w14:paraId="4D625D53" w14:textId="77777777" w:rsidR="00221B29" w:rsidRPr="00221B29" w:rsidRDefault="00221B29" w:rsidP="00221B29"/>
        </w:tc>
        <w:tc>
          <w:tcPr>
            <w:tcW w:w="575" w:type="pct"/>
            <w:tcBorders>
              <w:top w:val="nil"/>
              <w:bottom w:val="nil"/>
            </w:tcBorders>
            <w:vAlign w:val="bottom"/>
          </w:tcPr>
          <w:p w14:paraId="51A32160" w14:textId="77777777" w:rsidR="00221B29" w:rsidRPr="00221B29" w:rsidRDefault="00221B29" w:rsidP="00221B29"/>
        </w:tc>
      </w:tr>
      <w:tr w:rsidR="00221B29" w:rsidRPr="00221B29" w14:paraId="5E8FA6D8" w14:textId="77777777">
        <w:trPr>
          <w:trHeight w:val="300"/>
        </w:trPr>
        <w:tc>
          <w:tcPr>
            <w:tcW w:w="1733" w:type="pct"/>
            <w:tcBorders>
              <w:top w:val="nil"/>
              <w:left w:val="single" w:sz="4" w:space="0" w:color="auto"/>
              <w:bottom w:val="single" w:sz="4" w:space="0" w:color="auto"/>
              <w:right w:val="single" w:sz="4" w:space="0" w:color="auto"/>
            </w:tcBorders>
            <w:shd w:val="clear" w:color="auto" w:fill="auto"/>
            <w:noWrap/>
            <w:vAlign w:val="bottom"/>
            <w:hideMark/>
          </w:tcPr>
          <w:p w14:paraId="2A356750" w14:textId="77777777" w:rsidR="00221B29" w:rsidRPr="00221B29" w:rsidRDefault="00221B29" w:rsidP="00221B29">
            <w:r w:rsidRPr="00221B29">
              <w:t>Information / Publicity</w:t>
            </w:r>
          </w:p>
        </w:tc>
        <w:tc>
          <w:tcPr>
            <w:tcW w:w="650" w:type="pct"/>
            <w:tcBorders>
              <w:top w:val="nil"/>
              <w:left w:val="nil"/>
              <w:bottom w:val="single" w:sz="4" w:space="0" w:color="auto"/>
              <w:right w:val="single" w:sz="4" w:space="0" w:color="auto"/>
            </w:tcBorders>
            <w:shd w:val="clear" w:color="auto" w:fill="auto"/>
            <w:noWrap/>
            <w:vAlign w:val="bottom"/>
            <w:hideMark/>
          </w:tcPr>
          <w:p w14:paraId="5DC93191" w14:textId="77777777" w:rsidR="00221B29" w:rsidRPr="00221B29" w:rsidRDefault="00221B29" w:rsidP="00221B29">
            <w:r w:rsidRPr="00221B29">
              <w:t>15 000</w:t>
            </w:r>
          </w:p>
        </w:tc>
        <w:tc>
          <w:tcPr>
            <w:tcW w:w="475" w:type="pct"/>
            <w:tcBorders>
              <w:top w:val="nil"/>
              <w:left w:val="single" w:sz="4" w:space="0" w:color="auto"/>
            </w:tcBorders>
          </w:tcPr>
          <w:p w14:paraId="0A7F68C9" w14:textId="77777777" w:rsidR="00221B29" w:rsidRPr="00221B29" w:rsidRDefault="00221B29" w:rsidP="00221B29"/>
        </w:tc>
        <w:tc>
          <w:tcPr>
            <w:tcW w:w="1567" w:type="pct"/>
            <w:tcBorders>
              <w:top w:val="nil"/>
            </w:tcBorders>
            <w:vAlign w:val="bottom"/>
          </w:tcPr>
          <w:p w14:paraId="54E3AA14" w14:textId="77777777" w:rsidR="00221B29" w:rsidRPr="00221B29" w:rsidRDefault="00221B29" w:rsidP="00221B29"/>
        </w:tc>
        <w:tc>
          <w:tcPr>
            <w:tcW w:w="575" w:type="pct"/>
            <w:tcBorders>
              <w:top w:val="nil"/>
            </w:tcBorders>
            <w:vAlign w:val="bottom"/>
          </w:tcPr>
          <w:p w14:paraId="3D00B0E9" w14:textId="77777777" w:rsidR="00221B29" w:rsidRPr="00221B29" w:rsidRDefault="00221B29" w:rsidP="00221B29"/>
        </w:tc>
      </w:tr>
    </w:tbl>
    <w:p w14:paraId="5B5D8622" w14:textId="72FEA82A" w:rsidR="00221B29" w:rsidRPr="00221B29" w:rsidRDefault="00221B29" w:rsidP="00221B29">
      <w:r w:rsidRPr="00221B29">
        <w:t>The various ways in which this project would be treated, depending on the simplified cost option selected, are described below.</w:t>
      </w:r>
      <w:r w:rsidRPr="00221B29">
        <w:rPr>
          <w:b/>
          <w:i/>
        </w:rPr>
        <w:t xml:space="preserve"> </w:t>
      </w:r>
    </w:p>
    <w:p w14:paraId="5C6B6EC6" w14:textId="1630FEC0" w:rsidR="00221B29" w:rsidRPr="009E57FF" w:rsidRDefault="00221B29" w:rsidP="00221B29">
      <w:pPr>
        <w:rPr>
          <w:b/>
          <w:color w:val="4472C4" w:themeColor="accent1"/>
        </w:rPr>
      </w:pPr>
      <w:r w:rsidRPr="00D04BB1">
        <w:rPr>
          <w:b/>
          <w:color w:val="4472C4" w:themeColor="accent1"/>
        </w:rPr>
        <w:t xml:space="preserve">Possibility 1: Standard scales of unit costs (Art. 53(1) (b) CPR) </w:t>
      </w:r>
    </w:p>
    <w:p w14:paraId="3E2BCC3F" w14:textId="670FFA76" w:rsidR="00221B29" w:rsidRPr="009E57FF" w:rsidRDefault="00221B29" w:rsidP="00221B29">
      <w:pPr>
        <w:rPr>
          <w:b/>
        </w:rPr>
      </w:pPr>
      <w:r w:rsidRPr="00D04BB1">
        <w:rPr>
          <w:b/>
          <w:color w:val="4472C4" w:themeColor="accent1"/>
        </w:rPr>
        <w:t xml:space="preserve">Principle: </w:t>
      </w:r>
      <w:r w:rsidRPr="00221B29">
        <w:t xml:space="preserve">all or part of the eligible expenditure is calculated </w:t>
      </w:r>
      <w:proofErr w:type="gramStart"/>
      <w:r w:rsidRPr="00221B29">
        <w:t>on the basis of</w:t>
      </w:r>
      <w:proofErr w:type="gramEnd"/>
      <w:r w:rsidRPr="00221B29">
        <w:t xml:space="preserve"> quantified inputs, outputs or results multiplied by a unitary cost defined in advance.</w:t>
      </w:r>
    </w:p>
    <w:p w14:paraId="17C48735" w14:textId="5AB812AD" w:rsidR="00221B29" w:rsidRPr="00221B29" w:rsidRDefault="00221B29" w:rsidP="00221B29">
      <w:r w:rsidRPr="00221B29">
        <w:t>For the seminar, a unit cost of EUR 3 000 per person attending the seminar could be established (</w:t>
      </w:r>
      <w:proofErr w:type="gramStart"/>
      <w:r w:rsidRPr="00221B29">
        <w:t>on the basis of</w:t>
      </w:r>
      <w:proofErr w:type="gramEnd"/>
      <w:r w:rsidRPr="00221B29">
        <w:t xml:space="preserve"> one of the calculation methods of Article 53(3) CPR).</w:t>
      </w:r>
    </w:p>
    <w:p w14:paraId="7D04BE93" w14:textId="7BD718CF" w:rsidR="00221B29" w:rsidRPr="00221B29" w:rsidRDefault="00221B29" w:rsidP="00221B29">
      <w:r w:rsidRPr="00221B29">
        <w:t>The draft budget would become:</w:t>
      </w:r>
    </w:p>
    <w:p w14:paraId="3A100D88" w14:textId="77777777" w:rsidR="00221B29" w:rsidRPr="00221B29" w:rsidRDefault="00221B29" w:rsidP="00221B29">
      <w:r w:rsidRPr="00221B29">
        <w:t>Maximum number of persons attending the seminar = 50</w:t>
      </w:r>
    </w:p>
    <w:p w14:paraId="14E3E543" w14:textId="77777777" w:rsidR="00221B29" w:rsidRPr="00221B29" w:rsidRDefault="00221B29" w:rsidP="00221B29">
      <w:r w:rsidRPr="00221B29">
        <w:t>Unit cost / person attending the seminar = EUR 3 000</w:t>
      </w:r>
    </w:p>
    <w:p w14:paraId="57201B34" w14:textId="47A8E6DC" w:rsidR="00221B29" w:rsidRPr="00221B29" w:rsidRDefault="00221B29" w:rsidP="00221B29">
      <w:pPr>
        <w:rPr>
          <w:lang w:val="en-US"/>
        </w:rPr>
      </w:pPr>
      <w:r w:rsidRPr="00221B29">
        <w:rPr>
          <w:lang w:val="en-US"/>
        </w:rPr>
        <w:t>Total eligible costs = 50 x EUR 3 000 = EUR 150 000.</w:t>
      </w:r>
    </w:p>
    <w:p w14:paraId="05C09048" w14:textId="77777777" w:rsidR="00221B29" w:rsidRPr="00221B29" w:rsidRDefault="00221B29" w:rsidP="00221B29">
      <w:r w:rsidRPr="00221B29">
        <w:t>If 48 people attend the seminar, the eligible cost is: 48 x EUR 3 000 = EUR 144 000</w:t>
      </w:r>
    </w:p>
    <w:p w14:paraId="476BCD55" w14:textId="77777777" w:rsidR="00221B29" w:rsidRPr="00221B29" w:rsidRDefault="00221B29" w:rsidP="00221B29">
      <w:r w:rsidRPr="00221B29">
        <w:t>Audit trail:</w:t>
      </w:r>
    </w:p>
    <w:p w14:paraId="0DB1120B" w14:textId="292225ED" w:rsidR="00221B29" w:rsidRPr="00221B29" w:rsidRDefault="00221B29" w:rsidP="009E57FF">
      <w:pPr>
        <w:pStyle w:val="ListParagraph"/>
        <w:numPr>
          <w:ilvl w:val="0"/>
          <w:numId w:val="101"/>
        </w:numPr>
      </w:pPr>
      <w:r w:rsidRPr="00221B29">
        <w:lastRenderedPageBreak/>
        <w:t xml:space="preserve">the methodology used to determine the value of the standard scale of unit cost should be documented and </w:t>
      </w:r>
      <w:proofErr w:type="gramStart"/>
      <w:r w:rsidRPr="00221B29">
        <w:t>stored;</w:t>
      </w:r>
      <w:proofErr w:type="gramEnd"/>
    </w:p>
    <w:p w14:paraId="5D0DF381" w14:textId="6111494F" w:rsidR="00221B29" w:rsidRPr="00221B29" w:rsidRDefault="00221B29" w:rsidP="009E57FF">
      <w:pPr>
        <w:pStyle w:val="ListParagraph"/>
        <w:numPr>
          <w:ilvl w:val="0"/>
          <w:numId w:val="101"/>
        </w:numPr>
      </w:pPr>
      <w:r w:rsidRPr="00221B29">
        <w:t xml:space="preserve">the document setting out the conditions for support needs to be clear about the standard scale of unit cost and the triggering factors for </w:t>
      </w:r>
      <w:proofErr w:type="gramStart"/>
      <w:r w:rsidRPr="00221B29">
        <w:t>payment;</w:t>
      </w:r>
      <w:proofErr w:type="gramEnd"/>
    </w:p>
    <w:p w14:paraId="7B438EF3" w14:textId="26D99215" w:rsidR="00221B29" w:rsidRPr="00221B29" w:rsidRDefault="00221B29" w:rsidP="009E57FF">
      <w:pPr>
        <w:pStyle w:val="ListParagraph"/>
        <w:numPr>
          <w:ilvl w:val="0"/>
          <w:numId w:val="101"/>
        </w:numPr>
      </w:pPr>
      <w:r w:rsidRPr="00221B29">
        <w:t>proof of attendance at the seminar (attendance sheets).</w:t>
      </w:r>
    </w:p>
    <w:p w14:paraId="69D0007A" w14:textId="77777777" w:rsidR="00221B29" w:rsidRPr="00221B29" w:rsidRDefault="00221B29" w:rsidP="00221B29">
      <w:r w:rsidRPr="00D04BB1">
        <w:rPr>
          <w:b/>
          <w:color w:val="4472C4" w:themeColor="accent1"/>
        </w:rPr>
        <w:t>Note:</w:t>
      </w:r>
      <w:r w:rsidRPr="00D04BB1">
        <w:rPr>
          <w:color w:val="4472C4" w:themeColor="accent1"/>
        </w:rPr>
        <w:t xml:space="preserve"> </w:t>
      </w:r>
      <w:r w:rsidRPr="00221B29">
        <w:t xml:space="preserve">In this case, the eligibility of participants does not need to be verified. Whenever the targeted participants </w:t>
      </w:r>
      <w:proofErr w:type="gramStart"/>
      <w:r w:rsidRPr="00221B29">
        <w:t>have to</w:t>
      </w:r>
      <w:proofErr w:type="gramEnd"/>
      <w:r w:rsidRPr="00221B29">
        <w:t xml:space="preserve"> comply with a specific profile, their eligibility should be verified. </w:t>
      </w:r>
    </w:p>
    <w:p w14:paraId="73E162DA" w14:textId="77777777" w:rsidR="009E57FF" w:rsidRDefault="009E57FF" w:rsidP="00221B29">
      <w:pPr>
        <w:rPr>
          <w:b/>
          <w:bCs/>
        </w:rPr>
      </w:pPr>
    </w:p>
    <w:p w14:paraId="27105CE7" w14:textId="77777777" w:rsidR="009E57FF" w:rsidRDefault="009E57FF" w:rsidP="00221B29">
      <w:pPr>
        <w:rPr>
          <w:b/>
          <w:bCs/>
        </w:rPr>
      </w:pPr>
    </w:p>
    <w:p w14:paraId="6BAF406E" w14:textId="6E2BF2D9" w:rsidR="00221B29" w:rsidRPr="00221B29" w:rsidRDefault="00221B29" w:rsidP="00221B29">
      <w:pPr>
        <w:rPr>
          <w:b/>
          <w:bCs/>
        </w:rPr>
      </w:pPr>
      <w:r w:rsidRPr="00D04BB1">
        <w:rPr>
          <w:b/>
          <w:bCs/>
          <w:color w:val="4472C4" w:themeColor="accent1"/>
        </w:rPr>
        <w:t xml:space="preserve">Possibility 2: Lump sums (Art. 53(1) (c) CPR) </w:t>
      </w:r>
    </w:p>
    <w:p w14:paraId="7F44C00A" w14:textId="77777777" w:rsidR="00221B29" w:rsidRPr="00221B29" w:rsidRDefault="00221B29" w:rsidP="00221B29">
      <w:r w:rsidRPr="00D04BB1">
        <w:rPr>
          <w:b/>
          <w:color w:val="4472C4" w:themeColor="accent1"/>
        </w:rPr>
        <w:t>Principle:</w:t>
      </w:r>
      <w:r w:rsidRPr="00221B29">
        <w:rPr>
          <w:b/>
        </w:rPr>
        <w:t xml:space="preserve"> </w:t>
      </w:r>
      <w:r w:rsidRPr="00221B29">
        <w:t xml:space="preserve">all or part of eligible expenditure of an operation is reimbursed </w:t>
      </w:r>
      <w:proofErr w:type="gramStart"/>
      <w:r w:rsidRPr="00221B29">
        <w:t>on the basis of</w:t>
      </w:r>
      <w:proofErr w:type="gramEnd"/>
      <w:r w:rsidRPr="00221B29">
        <w:t xml:space="preserve"> a single pre-established amount, in accordance with predefined terms of agreement on activities and/or outputs (corresponding to 1 unit). The grant is paid if the predefined terms of agreement on activities and/or outputs are completed.</w:t>
      </w:r>
    </w:p>
    <w:p w14:paraId="050E662E" w14:textId="77777777" w:rsidR="00221B29" w:rsidRPr="00221B29" w:rsidRDefault="00221B29" w:rsidP="00221B29">
      <w:r w:rsidRPr="00221B29">
        <w:t xml:space="preserve">A lump sum of EUR 150 000 could be established for the </w:t>
      </w:r>
      <w:r w:rsidRPr="00221B29">
        <w:rPr>
          <w:i/>
        </w:rPr>
        <w:t>organisation of the seminar</w:t>
      </w:r>
      <w:r w:rsidRPr="00221B29">
        <w:t xml:space="preserve"> (independently of the number of participants) to present new implementation tools, calculated </w:t>
      </w:r>
      <w:proofErr w:type="gramStart"/>
      <w:r w:rsidRPr="00221B29">
        <w:t>on the basis of</w:t>
      </w:r>
      <w:proofErr w:type="gramEnd"/>
      <w:r w:rsidRPr="00221B29">
        <w:t xml:space="preserve"> the calculation methods specified in Article 53(3) CPR.</w:t>
      </w:r>
    </w:p>
    <w:p w14:paraId="0D896F2C" w14:textId="77777777" w:rsidR="00221B29" w:rsidRPr="00221B29" w:rsidRDefault="00221B29" w:rsidP="00221B29">
      <w:r w:rsidRPr="00221B29">
        <w:t>The draft budget would become:</w:t>
      </w:r>
    </w:p>
    <w:p w14:paraId="3948AD94" w14:textId="77777777" w:rsidR="00221B29" w:rsidRPr="00221B29" w:rsidRDefault="00221B29" w:rsidP="00221B29">
      <w:r w:rsidRPr="00221B29">
        <w:t xml:space="preserve">Objective of the lump sum = organising a seminar to present new implementation tools </w:t>
      </w:r>
    </w:p>
    <w:p w14:paraId="3437EA7F" w14:textId="77777777" w:rsidR="00221B29" w:rsidRPr="00221B29" w:rsidRDefault="00221B29" w:rsidP="00221B29">
      <w:r w:rsidRPr="00221B29">
        <w:t>Total eligible cost = EUR 150 000</w:t>
      </w:r>
    </w:p>
    <w:p w14:paraId="0D79EF25" w14:textId="77777777" w:rsidR="00221B29" w:rsidRPr="00221B29" w:rsidRDefault="00221B29" w:rsidP="00221B29">
      <w:r w:rsidRPr="00221B29">
        <w:t>If the seminar is organised and new implementation tools are presented, the lump sum of EUR 150 000 is eligible. If the seminar is not organised or new implementation tools are not presented, nothing is paid.</w:t>
      </w:r>
    </w:p>
    <w:p w14:paraId="19D81165" w14:textId="77777777" w:rsidR="00221B29" w:rsidRPr="00221B29" w:rsidRDefault="00221B29" w:rsidP="00221B29">
      <w:r w:rsidRPr="00221B29">
        <w:t>Audit trail:</w:t>
      </w:r>
    </w:p>
    <w:p w14:paraId="112016F4" w14:textId="77777777" w:rsidR="00221B29" w:rsidRPr="00221B29" w:rsidRDefault="00221B29" w:rsidP="009E57FF">
      <w:pPr>
        <w:pStyle w:val="ListParagraph"/>
        <w:numPr>
          <w:ilvl w:val="0"/>
          <w:numId w:val="102"/>
        </w:numPr>
      </w:pPr>
      <w:r w:rsidRPr="00221B29">
        <w:t xml:space="preserve">the methodology used to determine the value of the lump sum should be documented and </w:t>
      </w:r>
      <w:proofErr w:type="gramStart"/>
      <w:r w:rsidRPr="00221B29">
        <w:t>stored;</w:t>
      </w:r>
      <w:proofErr w:type="gramEnd"/>
    </w:p>
    <w:p w14:paraId="171D3827" w14:textId="77777777" w:rsidR="00221B29" w:rsidRPr="00221B29" w:rsidRDefault="00221B29" w:rsidP="009E57FF">
      <w:pPr>
        <w:pStyle w:val="ListParagraph"/>
        <w:numPr>
          <w:ilvl w:val="0"/>
          <w:numId w:val="102"/>
        </w:numPr>
      </w:pPr>
      <w:r w:rsidRPr="00221B29">
        <w:t>the document setting out the conditions for support</w:t>
      </w:r>
      <w:r w:rsidRPr="00221B29" w:rsidDel="007B5649">
        <w:t xml:space="preserve"> </w:t>
      </w:r>
      <w:r w:rsidRPr="00221B29">
        <w:t xml:space="preserve">needs to be clear about the lump sums and the triggering factors for </w:t>
      </w:r>
      <w:proofErr w:type="gramStart"/>
      <w:r w:rsidRPr="00221B29">
        <w:t>payment;</w:t>
      </w:r>
      <w:proofErr w:type="gramEnd"/>
    </w:p>
    <w:p w14:paraId="56FFFBC5" w14:textId="77777777" w:rsidR="00221B29" w:rsidRPr="00221B29" w:rsidRDefault="00221B29" w:rsidP="009E57FF">
      <w:pPr>
        <w:pStyle w:val="ListParagraph"/>
        <w:numPr>
          <w:ilvl w:val="0"/>
          <w:numId w:val="102"/>
        </w:numPr>
      </w:pPr>
      <w:r w:rsidRPr="00221B29">
        <w:t xml:space="preserve">proof of delivery of the seminar and its content is necessary (newspaper articles, invitation &amp; programme, photos…). </w:t>
      </w:r>
    </w:p>
    <w:p w14:paraId="356A98F9" w14:textId="61F7EB77" w:rsidR="00221B29" w:rsidRPr="00A838F4" w:rsidRDefault="00221B29" w:rsidP="00221B29">
      <w:pPr>
        <w:rPr>
          <w:b/>
          <w:bCs/>
          <w:color w:val="4472C4" w:themeColor="accent1"/>
        </w:rPr>
      </w:pPr>
      <w:r w:rsidRPr="00A838F4">
        <w:rPr>
          <w:b/>
          <w:bCs/>
          <w:color w:val="4472C4" w:themeColor="accent1"/>
        </w:rPr>
        <w:t xml:space="preserve">Possibility 3: Flat rate financing (Art. 53(1) (d) CPR) </w:t>
      </w:r>
    </w:p>
    <w:p w14:paraId="7601771C" w14:textId="77777777" w:rsidR="00221B29" w:rsidRPr="00221B29" w:rsidRDefault="00221B29" w:rsidP="00221B29">
      <w:pPr>
        <w:rPr>
          <w:i/>
        </w:rPr>
      </w:pPr>
      <w:r w:rsidRPr="00221B29">
        <w:rPr>
          <w:i/>
        </w:rPr>
        <w:t>N.B: the amounts resulting from the calculations are rounded.</w:t>
      </w:r>
    </w:p>
    <w:p w14:paraId="033508B6" w14:textId="77777777" w:rsidR="00221B29" w:rsidRPr="00221B29" w:rsidRDefault="00221B29" w:rsidP="00221B29">
      <w:r w:rsidRPr="00A838F4">
        <w:rPr>
          <w:b/>
          <w:color w:val="4472C4" w:themeColor="accent1"/>
        </w:rPr>
        <w:t xml:space="preserve">General principle: </w:t>
      </w:r>
      <w:r w:rsidRPr="00221B29">
        <w:t>Specific categories of eligible costs, which are clearly identified in advance, are calculated by applying a percentage fixed ex-ante to one or several other categories of eligible costs.</w:t>
      </w:r>
    </w:p>
    <w:p w14:paraId="249BE4F7" w14:textId="77777777" w:rsidR="00221B29" w:rsidRPr="00221B29" w:rsidRDefault="00221B29" w:rsidP="00221B29">
      <w:r w:rsidRPr="00221B29">
        <w:t>When comparing flat rate financing systems, always compare all the below elements of the method and not only the flat rates:</w:t>
      </w:r>
    </w:p>
    <w:tbl>
      <w:tblPr>
        <w:tblW w:w="8647" w:type="dxa"/>
        <w:tblInd w:w="392" w:type="dxa"/>
        <w:tblLook w:val="04A0" w:firstRow="1" w:lastRow="0" w:firstColumn="1" w:lastColumn="0" w:noHBand="0" w:noVBand="1"/>
      </w:tblPr>
      <w:tblGrid>
        <w:gridCol w:w="8647"/>
      </w:tblGrid>
      <w:tr w:rsidR="00221B29" w:rsidRPr="00221B29" w14:paraId="57255FD6" w14:textId="77777777">
        <w:tc>
          <w:tcPr>
            <w:tcW w:w="8647" w:type="dxa"/>
            <w:shd w:val="clear" w:color="auto" w:fill="auto"/>
          </w:tcPr>
          <w:p w14:paraId="0BABB014" w14:textId="77777777" w:rsidR="00221B29" w:rsidRPr="00221B29" w:rsidRDefault="00221B29" w:rsidP="009E57FF">
            <w:pPr>
              <w:numPr>
                <w:ilvl w:val="0"/>
                <w:numId w:val="103"/>
              </w:numPr>
            </w:pPr>
            <w:r w:rsidRPr="00221B29">
              <w:t>categories of eligible costs to which the flat rate will be applied (the “basis”</w:t>
            </w:r>
            <w:proofErr w:type="gramStart"/>
            <w:r w:rsidRPr="00221B29">
              <w:t>);</w:t>
            </w:r>
            <w:proofErr w:type="gramEnd"/>
          </w:p>
          <w:p w14:paraId="548E994D" w14:textId="77777777" w:rsidR="00221B29" w:rsidRPr="00221B29" w:rsidRDefault="00221B29" w:rsidP="009E57FF">
            <w:pPr>
              <w:numPr>
                <w:ilvl w:val="0"/>
                <w:numId w:val="103"/>
              </w:numPr>
            </w:pPr>
            <w:r w:rsidRPr="00221B29">
              <w:t xml:space="preserve">the flat rate </w:t>
            </w:r>
            <w:proofErr w:type="gramStart"/>
            <w:r w:rsidRPr="00221B29">
              <w:t>itself;</w:t>
            </w:r>
            <w:proofErr w:type="gramEnd"/>
          </w:p>
          <w:p w14:paraId="7D9BF4FD" w14:textId="77777777" w:rsidR="00221B29" w:rsidRPr="00221B29" w:rsidRDefault="00221B29" w:rsidP="009E57FF">
            <w:pPr>
              <w:numPr>
                <w:ilvl w:val="0"/>
                <w:numId w:val="103"/>
              </w:numPr>
            </w:pPr>
            <w:r w:rsidRPr="00221B29">
              <w:t xml:space="preserve">categories of eligible costs calculated with the flat </w:t>
            </w:r>
            <w:proofErr w:type="gramStart"/>
            <w:r w:rsidRPr="00221B29">
              <w:t>rate;</w:t>
            </w:r>
            <w:proofErr w:type="gramEnd"/>
          </w:p>
          <w:p w14:paraId="63127BD4" w14:textId="77777777" w:rsidR="00221B29" w:rsidRPr="00221B29" w:rsidRDefault="00221B29" w:rsidP="009E57FF">
            <w:pPr>
              <w:numPr>
                <w:ilvl w:val="0"/>
                <w:numId w:val="103"/>
              </w:numPr>
            </w:pPr>
            <w:r w:rsidRPr="00221B29">
              <w:t>where relevant, categories of eligible costs to which the flat rate is not applied and that are not calculated with the flat rate.</w:t>
            </w:r>
          </w:p>
        </w:tc>
      </w:tr>
    </w:tbl>
    <w:p w14:paraId="0C01A296" w14:textId="77777777" w:rsidR="00221B29" w:rsidRPr="00A838F4" w:rsidRDefault="00221B29" w:rsidP="00221B29">
      <w:pPr>
        <w:rPr>
          <w:b/>
          <w:color w:val="4472C4" w:themeColor="accent1"/>
        </w:rPr>
      </w:pPr>
      <w:r w:rsidRPr="00A838F4">
        <w:rPr>
          <w:b/>
          <w:color w:val="4472C4" w:themeColor="accent1"/>
        </w:rPr>
        <w:t>Option 1: General ‘flat rate financing’ rule</w:t>
      </w:r>
    </w:p>
    <w:p w14:paraId="35C7098B" w14:textId="77777777" w:rsidR="00221B29" w:rsidRPr="00221B29" w:rsidRDefault="07EDC88F" w:rsidP="00221B29">
      <w:r w:rsidRPr="00221B29">
        <w:t>The Member State uses one of the methods stipulated in Article 53(3) CPR</w:t>
      </w:r>
      <w:r w:rsidR="00221B29" w:rsidRPr="00221B29">
        <w:rPr>
          <w:vertAlign w:val="superscript"/>
        </w:rPr>
        <w:footnoteReference w:id="31"/>
      </w:r>
      <w:r w:rsidRPr="00221B29">
        <w:t xml:space="preserve"> to define a flat rate of 47%, which will be applied to all staff costs (both direct and indirect) to calculate the other </w:t>
      </w:r>
      <w:proofErr w:type="gramStart"/>
      <w:r w:rsidRPr="00221B29">
        <w:t>costs  of</w:t>
      </w:r>
      <w:proofErr w:type="gramEnd"/>
      <w:r w:rsidRPr="00221B29">
        <w:t xml:space="preserve"> the operation: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9"/>
        <w:gridCol w:w="3657"/>
      </w:tblGrid>
      <w:tr w:rsidR="00221B29" w:rsidRPr="00221B29" w14:paraId="57F4B7B3" w14:textId="77777777">
        <w:tc>
          <w:tcPr>
            <w:tcW w:w="2972" w:type="pct"/>
            <w:shd w:val="clear" w:color="auto" w:fill="auto"/>
          </w:tcPr>
          <w:p w14:paraId="2FC5E40D" w14:textId="77777777" w:rsidR="00221B29" w:rsidRPr="00221B29" w:rsidRDefault="00221B29" w:rsidP="00221B29">
            <w:pPr>
              <w:rPr>
                <w:i/>
              </w:rPr>
            </w:pPr>
            <w:r w:rsidRPr="00221B29">
              <w:rPr>
                <w:i/>
              </w:rPr>
              <w:t>Categories of eligible costs to which the rate is to be applied to calculate the amounts for other eligible costs (type 1)</w:t>
            </w:r>
          </w:p>
        </w:tc>
        <w:tc>
          <w:tcPr>
            <w:tcW w:w="2028" w:type="pct"/>
            <w:shd w:val="clear" w:color="auto" w:fill="auto"/>
          </w:tcPr>
          <w:p w14:paraId="55CA964C" w14:textId="77777777" w:rsidR="00221B29" w:rsidRPr="00221B29" w:rsidRDefault="00221B29" w:rsidP="00221B29">
            <w:r w:rsidRPr="00221B29">
              <w:t>Staff costs = 90 000 + 12 000 = EUR 102 000</w:t>
            </w:r>
          </w:p>
        </w:tc>
      </w:tr>
      <w:tr w:rsidR="00221B29" w:rsidRPr="00221B29" w14:paraId="7F4812B4" w14:textId="77777777">
        <w:tc>
          <w:tcPr>
            <w:tcW w:w="2972" w:type="pct"/>
            <w:shd w:val="clear" w:color="auto" w:fill="auto"/>
          </w:tcPr>
          <w:p w14:paraId="623842EA" w14:textId="77777777" w:rsidR="00221B29" w:rsidRPr="00221B29" w:rsidRDefault="00221B29" w:rsidP="00221B29">
            <w:pPr>
              <w:rPr>
                <w:i/>
              </w:rPr>
            </w:pPr>
            <w:r w:rsidRPr="00221B29">
              <w:rPr>
                <w:i/>
              </w:rPr>
              <w:t>The flat rate itself</w:t>
            </w:r>
          </w:p>
        </w:tc>
        <w:tc>
          <w:tcPr>
            <w:tcW w:w="2028" w:type="pct"/>
            <w:shd w:val="clear" w:color="auto" w:fill="auto"/>
          </w:tcPr>
          <w:p w14:paraId="236BF2A3" w14:textId="77777777" w:rsidR="00221B29" w:rsidRPr="00221B29" w:rsidRDefault="00221B29" w:rsidP="00221B29">
            <w:r w:rsidRPr="00221B29">
              <w:t xml:space="preserve">47 % </w:t>
            </w:r>
          </w:p>
        </w:tc>
      </w:tr>
      <w:tr w:rsidR="00221B29" w:rsidRPr="00221B29" w14:paraId="0092AE94" w14:textId="77777777">
        <w:tc>
          <w:tcPr>
            <w:tcW w:w="2972" w:type="pct"/>
            <w:shd w:val="clear" w:color="auto" w:fill="auto"/>
          </w:tcPr>
          <w:p w14:paraId="0B028C23" w14:textId="77777777" w:rsidR="00221B29" w:rsidRPr="00221B29" w:rsidRDefault="00221B29" w:rsidP="00221B29">
            <w:pPr>
              <w:rPr>
                <w:i/>
              </w:rPr>
            </w:pPr>
            <w:r w:rsidRPr="00221B29">
              <w:rPr>
                <w:i/>
              </w:rPr>
              <w:t xml:space="preserve">Other categories of eligible costs that will be </w:t>
            </w:r>
            <w:r w:rsidRPr="00A838F4">
              <w:rPr>
                <w:b/>
                <w:i/>
                <w:color w:val="4472C4" w:themeColor="accent1"/>
              </w:rPr>
              <w:t>calculated</w:t>
            </w:r>
            <w:r w:rsidRPr="00A838F4">
              <w:rPr>
                <w:i/>
                <w:color w:val="4472C4" w:themeColor="accent1"/>
              </w:rPr>
              <w:t xml:space="preserve"> </w:t>
            </w:r>
            <w:r w:rsidRPr="00221B29">
              <w:rPr>
                <w:i/>
              </w:rPr>
              <w:t>with the flat rate (type 2)</w:t>
            </w:r>
          </w:p>
        </w:tc>
        <w:tc>
          <w:tcPr>
            <w:tcW w:w="2028" w:type="pct"/>
            <w:shd w:val="clear" w:color="auto" w:fill="auto"/>
          </w:tcPr>
          <w:p w14:paraId="7BC6E138" w14:textId="77777777" w:rsidR="00221B29" w:rsidRPr="00221B29" w:rsidRDefault="00221B29" w:rsidP="00221B29">
            <w:r w:rsidRPr="00221B29">
              <w:t>Other costs = 47 % of staff costs</w:t>
            </w:r>
          </w:p>
          <w:p w14:paraId="17BB1EA0" w14:textId="77777777" w:rsidR="00221B29" w:rsidRPr="00221B29" w:rsidRDefault="00221B29" w:rsidP="00221B29">
            <w:r w:rsidRPr="00221B29">
              <w:t>= 47 % x 102 000 = EUR 47 940</w:t>
            </w:r>
          </w:p>
        </w:tc>
      </w:tr>
      <w:tr w:rsidR="00221B29" w:rsidRPr="00221B29" w14:paraId="5F99421B" w14:textId="77777777">
        <w:tc>
          <w:tcPr>
            <w:tcW w:w="2972" w:type="pct"/>
            <w:shd w:val="clear" w:color="auto" w:fill="auto"/>
          </w:tcPr>
          <w:p w14:paraId="16401E10" w14:textId="77777777" w:rsidR="00221B29" w:rsidRPr="00221B29" w:rsidRDefault="00221B29" w:rsidP="00221B29">
            <w:pPr>
              <w:rPr>
                <w:i/>
              </w:rPr>
            </w:pPr>
            <w:r w:rsidRPr="00221B29">
              <w:rPr>
                <w:i/>
              </w:rPr>
              <w:t>Other categories of eligible costs to which the rate is not applied and that are not calculated with the flat rate (type 3)</w:t>
            </w:r>
          </w:p>
        </w:tc>
        <w:tc>
          <w:tcPr>
            <w:tcW w:w="2028" w:type="pct"/>
            <w:shd w:val="clear" w:color="auto" w:fill="auto"/>
          </w:tcPr>
          <w:p w14:paraId="34CE0B6E" w14:textId="77777777" w:rsidR="00221B29" w:rsidRPr="00221B29" w:rsidRDefault="00221B29" w:rsidP="00221B29">
            <w:r w:rsidRPr="00221B29">
              <w:t>Not relevant</w:t>
            </w:r>
          </w:p>
        </w:tc>
      </w:tr>
    </w:tbl>
    <w:p w14:paraId="088450F4" w14:textId="2C18A172" w:rsidR="00221B29" w:rsidRPr="00221B29" w:rsidRDefault="00221B29" w:rsidP="00221B29">
      <w:r w:rsidRPr="00221B29">
        <w:t>=&gt; Total eligible costs = 102 000 + 47 940 = EUR 149 940.</w:t>
      </w:r>
    </w:p>
    <w:p w14:paraId="5AE7F5BC" w14:textId="1BF15AF0" w:rsidR="00221B29" w:rsidRPr="00221B29" w:rsidRDefault="00221B29" w:rsidP="00221B29">
      <w:r w:rsidRPr="00221B29">
        <w:t>The draft budget takes the following form:</w:t>
      </w:r>
    </w:p>
    <w:tbl>
      <w:tblPr>
        <w:tblW w:w="5000" w:type="pct"/>
        <w:tblLook w:val="04A0" w:firstRow="1" w:lastRow="0" w:firstColumn="1" w:lastColumn="0" w:noHBand="0" w:noVBand="1"/>
      </w:tblPr>
      <w:tblGrid>
        <w:gridCol w:w="2999"/>
        <w:gridCol w:w="1028"/>
        <w:gridCol w:w="252"/>
        <w:gridCol w:w="3709"/>
        <w:gridCol w:w="1028"/>
      </w:tblGrid>
      <w:tr w:rsidR="00221B29" w:rsidRPr="00221B29" w14:paraId="2DB6157E" w14:textId="77777777">
        <w:trPr>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B056A" w14:textId="77777777" w:rsidR="00221B29" w:rsidRPr="00221B29" w:rsidRDefault="00221B29" w:rsidP="00221B29">
            <w:r w:rsidRPr="00221B29">
              <w:t>Staff costs (type 1):</w:t>
            </w:r>
          </w:p>
        </w:tc>
        <w:tc>
          <w:tcPr>
            <w:tcW w:w="570" w:type="pct"/>
            <w:tcBorders>
              <w:top w:val="single" w:sz="4" w:space="0" w:color="auto"/>
              <w:left w:val="nil"/>
              <w:bottom w:val="single" w:sz="4" w:space="0" w:color="auto"/>
              <w:right w:val="single" w:sz="4" w:space="0" w:color="auto"/>
            </w:tcBorders>
            <w:shd w:val="clear" w:color="auto" w:fill="auto"/>
            <w:noWrap/>
            <w:vAlign w:val="bottom"/>
            <w:hideMark/>
          </w:tcPr>
          <w:p w14:paraId="7A9B7E5C" w14:textId="77777777" w:rsidR="00221B29" w:rsidRPr="00221B29" w:rsidRDefault="00221B29" w:rsidP="00221B29">
            <w:r w:rsidRPr="00221B29">
              <w:t>102 000</w:t>
            </w:r>
          </w:p>
        </w:tc>
        <w:tc>
          <w:tcPr>
            <w:tcW w:w="140" w:type="pct"/>
            <w:tcBorders>
              <w:top w:val="nil"/>
              <w:left w:val="nil"/>
              <w:bottom w:val="nil"/>
              <w:right w:val="nil"/>
            </w:tcBorders>
            <w:shd w:val="clear" w:color="auto" w:fill="auto"/>
            <w:noWrap/>
            <w:vAlign w:val="bottom"/>
            <w:hideMark/>
          </w:tcPr>
          <w:p w14:paraId="3A4B7ADF" w14:textId="77777777" w:rsidR="00221B29" w:rsidRPr="00221B29" w:rsidRDefault="00221B29" w:rsidP="00221B29"/>
        </w:tc>
        <w:tc>
          <w:tcPr>
            <w:tcW w:w="20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582C4" w14:textId="77777777" w:rsidR="00221B29" w:rsidRPr="00221B29" w:rsidRDefault="00221B29" w:rsidP="00221B29">
            <w:r w:rsidRPr="00221B29">
              <w:t>Other costs (type2) = 47 % staff costs</w:t>
            </w:r>
          </w:p>
        </w:tc>
        <w:tc>
          <w:tcPr>
            <w:tcW w:w="570" w:type="pct"/>
            <w:tcBorders>
              <w:top w:val="single" w:sz="4" w:space="0" w:color="auto"/>
              <w:left w:val="nil"/>
              <w:bottom w:val="single" w:sz="4" w:space="0" w:color="auto"/>
              <w:right w:val="single" w:sz="4" w:space="0" w:color="auto"/>
            </w:tcBorders>
            <w:shd w:val="clear" w:color="auto" w:fill="auto"/>
            <w:noWrap/>
            <w:vAlign w:val="bottom"/>
            <w:hideMark/>
          </w:tcPr>
          <w:p w14:paraId="5A669D86" w14:textId="77777777" w:rsidR="00221B29" w:rsidRPr="00221B29" w:rsidRDefault="00221B29" w:rsidP="00221B29">
            <w:r w:rsidRPr="00221B29">
              <w:t>47 940</w:t>
            </w:r>
          </w:p>
        </w:tc>
      </w:tr>
      <w:tr w:rsidR="00221B29" w:rsidRPr="00221B29" w14:paraId="60398204" w14:textId="77777777">
        <w:trPr>
          <w:trHeight w:val="315"/>
        </w:trPr>
        <w:tc>
          <w:tcPr>
            <w:tcW w:w="1663" w:type="pct"/>
            <w:tcBorders>
              <w:top w:val="nil"/>
              <w:left w:val="single" w:sz="4" w:space="0" w:color="auto"/>
              <w:bottom w:val="nil"/>
              <w:right w:val="single" w:sz="4" w:space="0" w:color="auto"/>
            </w:tcBorders>
            <w:shd w:val="clear" w:color="auto" w:fill="auto"/>
            <w:noWrap/>
            <w:vAlign w:val="bottom"/>
            <w:hideMark/>
          </w:tcPr>
          <w:p w14:paraId="3D634742" w14:textId="77777777" w:rsidR="00221B29" w:rsidRPr="00221B29" w:rsidRDefault="00221B29" w:rsidP="00221B29">
            <w:r w:rsidRPr="00221B29">
              <w:lastRenderedPageBreak/>
              <w:t>Direct staff costs</w:t>
            </w:r>
          </w:p>
        </w:tc>
        <w:tc>
          <w:tcPr>
            <w:tcW w:w="570" w:type="pct"/>
            <w:tcBorders>
              <w:top w:val="nil"/>
              <w:left w:val="nil"/>
              <w:bottom w:val="nil"/>
              <w:right w:val="single" w:sz="4" w:space="0" w:color="auto"/>
            </w:tcBorders>
            <w:shd w:val="clear" w:color="auto" w:fill="auto"/>
            <w:noWrap/>
            <w:vAlign w:val="bottom"/>
            <w:hideMark/>
          </w:tcPr>
          <w:p w14:paraId="24B18991" w14:textId="77777777" w:rsidR="00221B29" w:rsidRPr="00221B29" w:rsidRDefault="00221B29" w:rsidP="00221B29">
            <w:r w:rsidRPr="00221B29">
              <w:t>90 000</w:t>
            </w:r>
          </w:p>
        </w:tc>
        <w:tc>
          <w:tcPr>
            <w:tcW w:w="140" w:type="pct"/>
            <w:tcBorders>
              <w:top w:val="nil"/>
              <w:left w:val="nil"/>
              <w:bottom w:val="nil"/>
              <w:right w:val="nil"/>
            </w:tcBorders>
            <w:shd w:val="clear" w:color="auto" w:fill="auto"/>
            <w:noWrap/>
            <w:vAlign w:val="bottom"/>
            <w:hideMark/>
          </w:tcPr>
          <w:p w14:paraId="49F74A4E" w14:textId="77777777" w:rsidR="00221B29" w:rsidRPr="00221B29" w:rsidRDefault="00221B29" w:rsidP="00221B29"/>
        </w:tc>
        <w:tc>
          <w:tcPr>
            <w:tcW w:w="2057" w:type="pct"/>
            <w:tcBorders>
              <w:top w:val="nil"/>
              <w:left w:val="nil"/>
              <w:bottom w:val="single" w:sz="8" w:space="0" w:color="auto"/>
              <w:right w:val="nil"/>
            </w:tcBorders>
            <w:shd w:val="clear" w:color="auto" w:fill="auto"/>
            <w:noWrap/>
            <w:vAlign w:val="bottom"/>
            <w:hideMark/>
          </w:tcPr>
          <w:p w14:paraId="2EEA68E1" w14:textId="77777777" w:rsidR="00221B29" w:rsidRPr="00221B29" w:rsidRDefault="00221B29" w:rsidP="00221B29">
            <w:r w:rsidRPr="00221B29">
              <w:rPr>
                <w:i/>
              </w:rPr>
              <w:t>(calculated)</w:t>
            </w:r>
          </w:p>
        </w:tc>
        <w:tc>
          <w:tcPr>
            <w:tcW w:w="570" w:type="pct"/>
            <w:tcBorders>
              <w:top w:val="nil"/>
              <w:left w:val="nil"/>
              <w:bottom w:val="single" w:sz="8" w:space="0" w:color="auto"/>
              <w:right w:val="nil"/>
            </w:tcBorders>
            <w:shd w:val="clear" w:color="auto" w:fill="auto"/>
            <w:noWrap/>
            <w:vAlign w:val="bottom"/>
            <w:hideMark/>
          </w:tcPr>
          <w:p w14:paraId="71C651B5" w14:textId="77777777" w:rsidR="00221B29" w:rsidRPr="00221B29" w:rsidRDefault="00221B29" w:rsidP="00221B29"/>
        </w:tc>
      </w:tr>
      <w:tr w:rsidR="00221B29" w:rsidRPr="00221B29" w14:paraId="5018F26B" w14:textId="77777777">
        <w:trPr>
          <w:trHeight w:val="315"/>
        </w:trPr>
        <w:tc>
          <w:tcPr>
            <w:tcW w:w="1663" w:type="pct"/>
            <w:tcBorders>
              <w:top w:val="nil"/>
              <w:left w:val="single" w:sz="4" w:space="0" w:color="auto"/>
              <w:bottom w:val="single" w:sz="4" w:space="0" w:color="auto"/>
              <w:right w:val="single" w:sz="4" w:space="0" w:color="auto"/>
            </w:tcBorders>
            <w:shd w:val="clear" w:color="auto" w:fill="auto"/>
            <w:vAlign w:val="center"/>
            <w:hideMark/>
          </w:tcPr>
          <w:p w14:paraId="193DB7A3" w14:textId="77777777" w:rsidR="00221B29" w:rsidRPr="00221B29" w:rsidRDefault="00221B29" w:rsidP="00221B29">
            <w:r w:rsidRPr="00221B29">
              <w:t>Indirect staff costs</w:t>
            </w:r>
          </w:p>
        </w:tc>
        <w:tc>
          <w:tcPr>
            <w:tcW w:w="570" w:type="pct"/>
            <w:tcBorders>
              <w:top w:val="nil"/>
              <w:left w:val="nil"/>
              <w:bottom w:val="single" w:sz="4" w:space="0" w:color="auto"/>
              <w:right w:val="single" w:sz="4" w:space="0" w:color="auto"/>
            </w:tcBorders>
            <w:shd w:val="clear" w:color="auto" w:fill="auto"/>
            <w:vAlign w:val="center"/>
            <w:hideMark/>
          </w:tcPr>
          <w:p w14:paraId="6FBA9612" w14:textId="77777777" w:rsidR="00221B29" w:rsidRPr="00221B29" w:rsidRDefault="00221B29" w:rsidP="00221B29">
            <w:r w:rsidRPr="00221B29">
              <w:t xml:space="preserve">12 000 </w:t>
            </w:r>
          </w:p>
        </w:tc>
        <w:tc>
          <w:tcPr>
            <w:tcW w:w="140" w:type="pct"/>
            <w:tcBorders>
              <w:top w:val="nil"/>
              <w:left w:val="nil"/>
              <w:bottom w:val="nil"/>
              <w:right w:val="nil"/>
            </w:tcBorders>
            <w:shd w:val="clear" w:color="auto" w:fill="auto"/>
            <w:noWrap/>
            <w:vAlign w:val="bottom"/>
            <w:hideMark/>
          </w:tcPr>
          <w:p w14:paraId="641C10AC" w14:textId="77777777" w:rsidR="00221B29" w:rsidRPr="00221B29" w:rsidRDefault="00221B29" w:rsidP="00221B29"/>
        </w:tc>
        <w:tc>
          <w:tcPr>
            <w:tcW w:w="2057" w:type="pct"/>
            <w:tcBorders>
              <w:top w:val="single" w:sz="8" w:space="0" w:color="auto"/>
              <w:left w:val="single" w:sz="8" w:space="0" w:color="auto"/>
              <w:bottom w:val="single" w:sz="8" w:space="0" w:color="auto"/>
              <w:right w:val="single" w:sz="4" w:space="0" w:color="auto"/>
            </w:tcBorders>
            <w:shd w:val="clear" w:color="auto" w:fill="BFBFBF"/>
            <w:noWrap/>
            <w:vAlign w:val="bottom"/>
            <w:hideMark/>
          </w:tcPr>
          <w:p w14:paraId="23B87220" w14:textId="77777777" w:rsidR="00221B29" w:rsidRPr="00221B29" w:rsidRDefault="00221B29" w:rsidP="00221B29">
            <w:r w:rsidRPr="00221B29">
              <w:t xml:space="preserve">Total eligible costs </w:t>
            </w:r>
          </w:p>
        </w:tc>
        <w:tc>
          <w:tcPr>
            <w:tcW w:w="570" w:type="pct"/>
            <w:tcBorders>
              <w:top w:val="single" w:sz="8" w:space="0" w:color="auto"/>
              <w:left w:val="nil"/>
              <w:bottom w:val="single" w:sz="8" w:space="0" w:color="auto"/>
              <w:right w:val="single" w:sz="8" w:space="0" w:color="auto"/>
            </w:tcBorders>
            <w:shd w:val="clear" w:color="auto" w:fill="BFBFBF"/>
            <w:noWrap/>
            <w:vAlign w:val="bottom"/>
            <w:hideMark/>
          </w:tcPr>
          <w:p w14:paraId="75FEEEB8" w14:textId="77777777" w:rsidR="00221B29" w:rsidRPr="00221B29" w:rsidRDefault="00221B29" w:rsidP="00221B29">
            <w:r w:rsidRPr="00221B29">
              <w:t>149 940</w:t>
            </w:r>
          </w:p>
        </w:tc>
      </w:tr>
    </w:tbl>
    <w:p w14:paraId="6818CA29" w14:textId="77777777" w:rsidR="00221B29" w:rsidRPr="00221B29" w:rsidRDefault="00221B29" w:rsidP="00221B29">
      <w:r w:rsidRPr="00221B29">
        <w:rPr>
          <w:i/>
        </w:rPr>
        <w:t>(Generally based on real costs)</w:t>
      </w:r>
    </w:p>
    <w:p w14:paraId="1A107830" w14:textId="2682564A" w:rsidR="00221B29" w:rsidRPr="00A838F4" w:rsidRDefault="00221B29" w:rsidP="00221B29">
      <w:pPr>
        <w:rPr>
          <w:b/>
          <w:bCs/>
        </w:rPr>
      </w:pPr>
      <w:r w:rsidRPr="00A838F4">
        <w:rPr>
          <w:b/>
          <w:bCs/>
          <w:color w:val="4472C4" w:themeColor="accent1"/>
        </w:rPr>
        <w:t>Audit trail: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5927"/>
      </w:tblGrid>
      <w:tr w:rsidR="00221B29" w:rsidRPr="00221B29" w14:paraId="065F60C5" w14:textId="77777777">
        <w:tc>
          <w:tcPr>
            <w:tcW w:w="1713" w:type="pct"/>
            <w:shd w:val="clear" w:color="auto" w:fill="auto"/>
          </w:tcPr>
          <w:p w14:paraId="04DF957E" w14:textId="77777777" w:rsidR="00221B29" w:rsidRPr="00221B29" w:rsidRDefault="00221B29" w:rsidP="00221B29">
            <w:pPr>
              <w:rPr>
                <w:i/>
              </w:rPr>
            </w:pPr>
            <w:r w:rsidRPr="00221B29">
              <w:rPr>
                <w:i/>
              </w:rPr>
              <w:t>Categories of eligible costs to which the rate is to be applied to calculate the amounts of other eligible costs</w:t>
            </w:r>
          </w:p>
        </w:tc>
        <w:tc>
          <w:tcPr>
            <w:tcW w:w="3287" w:type="pct"/>
            <w:shd w:val="clear" w:color="auto" w:fill="auto"/>
          </w:tcPr>
          <w:p w14:paraId="1076C444" w14:textId="77777777" w:rsidR="00221B29" w:rsidRPr="00221B29" w:rsidRDefault="00221B29" w:rsidP="00221B29">
            <w:r w:rsidRPr="00221B29">
              <w:t xml:space="preserve">Direct costs = </w:t>
            </w:r>
          </w:p>
          <w:p w14:paraId="37540EBD" w14:textId="77777777" w:rsidR="00221B29" w:rsidRPr="00221B29" w:rsidRDefault="00221B29" w:rsidP="00221B29">
            <w:pPr>
              <w:numPr>
                <w:ilvl w:val="0"/>
                <w:numId w:val="80"/>
              </w:numPr>
            </w:pPr>
            <w:r w:rsidRPr="00221B29">
              <w:t xml:space="preserve">clear definition of what staff costs </w:t>
            </w:r>
            <w:proofErr w:type="gramStart"/>
            <w:r w:rsidRPr="00221B29">
              <w:t>are;</w:t>
            </w:r>
            <w:proofErr w:type="gramEnd"/>
          </w:p>
          <w:p w14:paraId="2EC63EAE" w14:textId="77777777" w:rsidR="00221B29" w:rsidRPr="00221B29" w:rsidRDefault="00221B29" w:rsidP="00221B29">
            <w:pPr>
              <w:numPr>
                <w:ilvl w:val="0"/>
                <w:numId w:val="80"/>
              </w:numPr>
            </w:pPr>
            <w:r w:rsidRPr="00221B29">
              <w:t>proof of these costs (pay slips, timesheets if relevant, etc.)</w:t>
            </w:r>
          </w:p>
        </w:tc>
      </w:tr>
      <w:tr w:rsidR="00221B29" w:rsidRPr="00221B29" w14:paraId="64D4CF3C" w14:textId="77777777">
        <w:tc>
          <w:tcPr>
            <w:tcW w:w="1713" w:type="pct"/>
            <w:shd w:val="clear" w:color="auto" w:fill="auto"/>
          </w:tcPr>
          <w:p w14:paraId="14102AF4" w14:textId="77777777" w:rsidR="00221B29" w:rsidRPr="00221B29" w:rsidRDefault="00221B29" w:rsidP="00221B29">
            <w:pPr>
              <w:rPr>
                <w:i/>
              </w:rPr>
            </w:pPr>
            <w:r w:rsidRPr="00221B29">
              <w:rPr>
                <w:i/>
              </w:rPr>
              <w:t>The flat rate</w:t>
            </w:r>
          </w:p>
        </w:tc>
        <w:tc>
          <w:tcPr>
            <w:tcW w:w="3287" w:type="pct"/>
            <w:shd w:val="clear" w:color="auto" w:fill="auto"/>
          </w:tcPr>
          <w:p w14:paraId="4B4C8DC2" w14:textId="77777777" w:rsidR="00221B29" w:rsidRPr="00221B29" w:rsidRDefault="00221B29" w:rsidP="00221B29">
            <w:r w:rsidRPr="00221B29">
              <w:t>Reference to the method chosen for the flat rate, and:</w:t>
            </w:r>
          </w:p>
          <w:p w14:paraId="52E73161" w14:textId="77777777" w:rsidR="00221B29" w:rsidRPr="00221B29" w:rsidRDefault="00221B29" w:rsidP="00221B29">
            <w:pPr>
              <w:numPr>
                <w:ilvl w:val="0"/>
                <w:numId w:val="80"/>
              </w:numPr>
            </w:pPr>
            <w:r w:rsidRPr="00221B29">
              <w:t xml:space="preserve">For a) at the level of the managing authority, need to store the document proving the calculation </w:t>
            </w:r>
            <w:proofErr w:type="gramStart"/>
            <w:r w:rsidRPr="00221B29">
              <w:t>method;</w:t>
            </w:r>
            <w:proofErr w:type="gramEnd"/>
          </w:p>
          <w:p w14:paraId="0A5E3148" w14:textId="77777777" w:rsidR="00221B29" w:rsidRPr="00221B29" w:rsidRDefault="00221B29" w:rsidP="00221B29">
            <w:pPr>
              <w:numPr>
                <w:ilvl w:val="0"/>
                <w:numId w:val="80"/>
              </w:numPr>
            </w:pPr>
            <w:r w:rsidRPr="00221B29">
              <w:t xml:space="preserve">For b) correct application of the methodology (which is still in force when the operation is selected) and proof that the beneficiary and the type of operations are </w:t>
            </w:r>
            <w:proofErr w:type="gramStart"/>
            <w:r w:rsidRPr="00221B29">
              <w:t>similar;</w:t>
            </w:r>
            <w:proofErr w:type="gramEnd"/>
          </w:p>
          <w:p w14:paraId="5A953EDE" w14:textId="77777777" w:rsidR="00221B29" w:rsidRPr="00221B29" w:rsidRDefault="00221B29" w:rsidP="00221B29">
            <w:pPr>
              <w:numPr>
                <w:ilvl w:val="0"/>
                <w:numId w:val="80"/>
              </w:numPr>
            </w:pPr>
            <w:r w:rsidRPr="00221B29">
              <w:t xml:space="preserve">For c) proof that the methodology is applied to schemes for grants entirely funded by the Member State and still in force when the operation is selected, and proof that the beneficiary and the type of operations are </w:t>
            </w:r>
            <w:proofErr w:type="gramStart"/>
            <w:r w:rsidRPr="00221B29">
              <w:t>similar;</w:t>
            </w:r>
            <w:proofErr w:type="gramEnd"/>
          </w:p>
          <w:p w14:paraId="2A99AED4" w14:textId="77777777" w:rsidR="00221B29" w:rsidRPr="00221B29" w:rsidRDefault="00221B29" w:rsidP="00221B29">
            <w:pPr>
              <w:numPr>
                <w:ilvl w:val="0"/>
                <w:numId w:val="80"/>
              </w:numPr>
            </w:pPr>
            <w:r w:rsidRPr="00221B29">
              <w:t xml:space="preserve">For d) the reference to the method used.  </w:t>
            </w:r>
          </w:p>
        </w:tc>
      </w:tr>
      <w:tr w:rsidR="00221B29" w:rsidRPr="00221B29" w14:paraId="51C5FCAB" w14:textId="77777777">
        <w:tc>
          <w:tcPr>
            <w:tcW w:w="1713" w:type="pct"/>
            <w:shd w:val="clear" w:color="auto" w:fill="auto"/>
          </w:tcPr>
          <w:p w14:paraId="531F10EE" w14:textId="77777777" w:rsidR="00221B29" w:rsidRPr="00221B29" w:rsidRDefault="00221B29" w:rsidP="00221B29">
            <w:pPr>
              <w:rPr>
                <w:i/>
              </w:rPr>
            </w:pPr>
            <w:r w:rsidRPr="00221B29">
              <w:rPr>
                <w:i/>
              </w:rPr>
              <w:t xml:space="preserve">Other categories of eligible costs that will be </w:t>
            </w:r>
            <w:r w:rsidRPr="00221B29">
              <w:rPr>
                <w:b/>
                <w:i/>
              </w:rPr>
              <w:t>calculated</w:t>
            </w:r>
            <w:r w:rsidRPr="00221B29">
              <w:rPr>
                <w:i/>
              </w:rPr>
              <w:t xml:space="preserve"> with the flat rate</w:t>
            </w:r>
          </w:p>
        </w:tc>
        <w:tc>
          <w:tcPr>
            <w:tcW w:w="3287" w:type="pct"/>
            <w:shd w:val="clear" w:color="auto" w:fill="auto"/>
          </w:tcPr>
          <w:p w14:paraId="69D95605" w14:textId="77777777" w:rsidR="00221B29" w:rsidRPr="00221B29" w:rsidRDefault="00221B29" w:rsidP="00221B29">
            <w:r w:rsidRPr="00221B29">
              <w:t xml:space="preserve">No justification needed. </w:t>
            </w:r>
          </w:p>
        </w:tc>
      </w:tr>
    </w:tbl>
    <w:p w14:paraId="337B19D1" w14:textId="47DFF410" w:rsidR="00221B29" w:rsidRPr="00A838F4" w:rsidRDefault="00221B29" w:rsidP="00221B29">
      <w:pPr>
        <w:rPr>
          <w:b/>
          <w:bCs/>
          <w:color w:val="4472C4" w:themeColor="accent1"/>
        </w:rPr>
      </w:pPr>
      <w:r w:rsidRPr="00A838F4">
        <w:rPr>
          <w:b/>
          <w:bCs/>
          <w:color w:val="4472C4" w:themeColor="accent1"/>
        </w:rPr>
        <w:t xml:space="preserve">Option 2: Flat rate financing for indirect costs </w:t>
      </w:r>
    </w:p>
    <w:p w14:paraId="7C40760B" w14:textId="1B65EFDF" w:rsidR="00221B29" w:rsidRPr="00221B29" w:rsidRDefault="00221B29" w:rsidP="00221B29">
      <w:r w:rsidRPr="00221B29">
        <w:t>The Member State designs a flat rate system where a flat rate of 11.1 % is applied to the eligible direct costs. If rate is calculated on the basis of a fair, equitable and verifiable calculation method, then it may not exceed 25% of eligible direct costs (point (c) of the first subparagraph of Article 54 CPR)</w:t>
      </w:r>
      <w:proofErr w:type="gramStart"/>
      <w:r w:rsidRPr="00221B29">
        <w:t>. :</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3379"/>
      </w:tblGrid>
      <w:tr w:rsidR="00221B29" w:rsidRPr="00221B29" w14:paraId="53B343D3" w14:textId="77777777">
        <w:tc>
          <w:tcPr>
            <w:tcW w:w="3126" w:type="pct"/>
            <w:shd w:val="clear" w:color="auto" w:fill="auto"/>
          </w:tcPr>
          <w:p w14:paraId="4FFD8F23" w14:textId="77777777" w:rsidR="00221B29" w:rsidRPr="00221B29" w:rsidRDefault="00221B29" w:rsidP="00221B29">
            <w:pPr>
              <w:rPr>
                <w:i/>
              </w:rPr>
            </w:pPr>
            <w:r w:rsidRPr="00221B29">
              <w:rPr>
                <w:i/>
              </w:rPr>
              <w:t>Categories of eligible costs to which the rate is to be applied to calculate the amounts for the eligible indirect costs (type 1)</w:t>
            </w:r>
          </w:p>
        </w:tc>
        <w:tc>
          <w:tcPr>
            <w:tcW w:w="1874" w:type="pct"/>
            <w:shd w:val="clear" w:color="auto" w:fill="auto"/>
          </w:tcPr>
          <w:p w14:paraId="4D691764" w14:textId="77777777" w:rsidR="00221B29" w:rsidRPr="00221B29" w:rsidRDefault="00221B29" w:rsidP="00221B29">
            <w:r w:rsidRPr="00221B29">
              <w:t>Eligible direct costs = EUR 135 000</w:t>
            </w:r>
          </w:p>
        </w:tc>
      </w:tr>
      <w:tr w:rsidR="00221B29" w:rsidRPr="00221B29" w14:paraId="36C1CBEE" w14:textId="77777777">
        <w:tc>
          <w:tcPr>
            <w:tcW w:w="3126" w:type="pct"/>
            <w:shd w:val="clear" w:color="auto" w:fill="auto"/>
          </w:tcPr>
          <w:p w14:paraId="1F3DD018" w14:textId="77777777" w:rsidR="00221B29" w:rsidRPr="00221B29" w:rsidRDefault="00221B29" w:rsidP="00221B29">
            <w:pPr>
              <w:rPr>
                <w:i/>
              </w:rPr>
            </w:pPr>
            <w:r w:rsidRPr="00221B29">
              <w:rPr>
                <w:i/>
              </w:rPr>
              <w:t>The flat rate</w:t>
            </w:r>
          </w:p>
        </w:tc>
        <w:tc>
          <w:tcPr>
            <w:tcW w:w="1874" w:type="pct"/>
            <w:tcBorders>
              <w:bottom w:val="single" w:sz="4" w:space="0" w:color="auto"/>
            </w:tcBorders>
            <w:shd w:val="clear" w:color="auto" w:fill="auto"/>
          </w:tcPr>
          <w:p w14:paraId="2164E56A" w14:textId="4E833A71" w:rsidR="00221B29" w:rsidRPr="00221B29" w:rsidRDefault="00221B29" w:rsidP="00221B29">
            <w:r w:rsidRPr="00221B29">
              <w:t>11.1 %</w:t>
            </w:r>
          </w:p>
        </w:tc>
      </w:tr>
      <w:tr w:rsidR="00221B29" w:rsidRPr="00221B29" w14:paraId="76CBABE7" w14:textId="77777777" w:rsidTr="00AD0B7C">
        <w:tc>
          <w:tcPr>
            <w:tcW w:w="3126" w:type="pct"/>
            <w:shd w:val="clear" w:color="auto" w:fill="auto"/>
          </w:tcPr>
          <w:p w14:paraId="43B93AAF" w14:textId="77777777" w:rsidR="00221B29" w:rsidRPr="00221B29" w:rsidRDefault="00221B29" w:rsidP="00221B29">
            <w:pPr>
              <w:rPr>
                <w:i/>
              </w:rPr>
            </w:pPr>
            <w:r w:rsidRPr="00221B29">
              <w:rPr>
                <w:i/>
              </w:rPr>
              <w:t xml:space="preserve">Categories of eligible costs that will be </w:t>
            </w:r>
            <w:r w:rsidRPr="00A838F4">
              <w:rPr>
                <w:b/>
                <w:i/>
                <w:color w:val="4472C4" w:themeColor="accent1"/>
              </w:rPr>
              <w:t>calculated</w:t>
            </w:r>
            <w:r w:rsidRPr="00A838F4">
              <w:rPr>
                <w:i/>
                <w:color w:val="4472C4" w:themeColor="accent1"/>
              </w:rPr>
              <w:t xml:space="preserve"> </w:t>
            </w:r>
            <w:r w:rsidRPr="00221B29">
              <w:rPr>
                <w:i/>
              </w:rPr>
              <w:t>with the flat rate (type 2)</w:t>
            </w:r>
          </w:p>
        </w:tc>
        <w:tc>
          <w:tcPr>
            <w:tcW w:w="1874" w:type="pct"/>
            <w:tcBorders>
              <w:bottom w:val="single" w:sz="4" w:space="0" w:color="auto"/>
            </w:tcBorders>
            <w:shd w:val="clear" w:color="auto" w:fill="auto"/>
          </w:tcPr>
          <w:p w14:paraId="340D2185" w14:textId="77777777" w:rsidR="00221B29" w:rsidRPr="00221B29" w:rsidRDefault="00221B29" w:rsidP="00221B29">
            <w:r w:rsidRPr="00221B29">
              <w:t>Indirect costs (calculated) = 11.1 % of eligible direct costs = 11.1 % x 135 000 = EUR 14 500</w:t>
            </w:r>
          </w:p>
        </w:tc>
      </w:tr>
      <w:tr w:rsidR="00221B29" w:rsidRPr="00221B29" w14:paraId="62B4A0FE" w14:textId="77777777" w:rsidTr="00AD0B7C">
        <w:tc>
          <w:tcPr>
            <w:tcW w:w="3126" w:type="pct"/>
            <w:shd w:val="clear" w:color="auto" w:fill="auto"/>
          </w:tcPr>
          <w:p w14:paraId="7E8EACC8" w14:textId="77777777" w:rsidR="00221B29" w:rsidRPr="00221B29" w:rsidRDefault="00221B29" w:rsidP="00221B29">
            <w:pPr>
              <w:rPr>
                <w:i/>
              </w:rPr>
            </w:pPr>
            <w:r w:rsidRPr="00221B29">
              <w:rPr>
                <w:i/>
              </w:rPr>
              <w:t>Categories of eligible costs to which the rate is not applied and that are not calculated with the flat rate (type 3)</w:t>
            </w:r>
          </w:p>
        </w:tc>
        <w:tc>
          <w:tcPr>
            <w:tcW w:w="1874" w:type="pct"/>
            <w:tcBorders>
              <w:bottom w:val="single" w:sz="4" w:space="0" w:color="auto"/>
            </w:tcBorders>
            <w:shd w:val="clear" w:color="auto" w:fill="auto"/>
          </w:tcPr>
          <w:p w14:paraId="42877C34" w14:textId="77777777" w:rsidR="00221B29" w:rsidRPr="00221B29" w:rsidRDefault="00221B29" w:rsidP="00221B29">
            <w:r w:rsidRPr="00221B29">
              <w:t>Not applicable as there are no other eligible costs.</w:t>
            </w:r>
          </w:p>
        </w:tc>
      </w:tr>
    </w:tbl>
    <w:p w14:paraId="274DFCAC" w14:textId="37AD0C99" w:rsidR="00221B29" w:rsidRPr="00221B29" w:rsidRDefault="00221B29" w:rsidP="00221B29">
      <w:r w:rsidRPr="00221B29">
        <w:t>=&gt; Total eligible costs = 135 000 + 14 500 = EUR 149 500</w:t>
      </w:r>
    </w:p>
    <w:p w14:paraId="75E328E0" w14:textId="77777777" w:rsidR="00221B29" w:rsidRPr="00221B29" w:rsidRDefault="00221B29" w:rsidP="00221B29">
      <w:r w:rsidRPr="00221B29">
        <w:t>The draft budget takes the following form:</w:t>
      </w:r>
    </w:p>
    <w:tbl>
      <w:tblPr>
        <w:tblW w:w="5000" w:type="pct"/>
        <w:tblLook w:val="04A0" w:firstRow="1" w:lastRow="0" w:firstColumn="1" w:lastColumn="0" w:noHBand="0" w:noVBand="1"/>
      </w:tblPr>
      <w:tblGrid>
        <w:gridCol w:w="2003"/>
        <w:gridCol w:w="1280"/>
        <w:gridCol w:w="222"/>
        <w:gridCol w:w="4563"/>
        <w:gridCol w:w="948"/>
      </w:tblGrid>
      <w:tr w:rsidR="00221B29" w:rsidRPr="00221B29" w14:paraId="2CF9F8E6" w14:textId="77777777">
        <w:trPr>
          <w:trHeight w:val="300"/>
        </w:trPr>
        <w:tc>
          <w:tcPr>
            <w:tcW w:w="10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403C6" w14:textId="77777777" w:rsidR="00221B29" w:rsidRPr="00221B29" w:rsidRDefault="00221B29" w:rsidP="00221B29">
            <w:pPr>
              <w:rPr>
                <w:i/>
                <w:iCs/>
              </w:rPr>
            </w:pPr>
            <w:r w:rsidRPr="00221B29">
              <w:rPr>
                <w:i/>
                <w:iCs/>
              </w:rPr>
              <w:t>Direct costs (type 1)</w:t>
            </w:r>
          </w:p>
        </w:tc>
        <w:tc>
          <w:tcPr>
            <w:tcW w:w="729" w:type="pct"/>
            <w:tcBorders>
              <w:top w:val="single" w:sz="4" w:space="0" w:color="auto"/>
              <w:left w:val="nil"/>
              <w:bottom w:val="single" w:sz="4" w:space="0" w:color="auto"/>
              <w:right w:val="single" w:sz="4" w:space="0" w:color="auto"/>
            </w:tcBorders>
            <w:shd w:val="clear" w:color="auto" w:fill="auto"/>
            <w:noWrap/>
            <w:vAlign w:val="bottom"/>
            <w:hideMark/>
          </w:tcPr>
          <w:p w14:paraId="7D319A11" w14:textId="77777777" w:rsidR="00221B29" w:rsidRPr="00221B29" w:rsidRDefault="00221B29" w:rsidP="00221B29">
            <w:pPr>
              <w:rPr>
                <w:i/>
                <w:iCs/>
              </w:rPr>
            </w:pPr>
            <w:r w:rsidRPr="00221B29">
              <w:rPr>
                <w:i/>
                <w:iCs/>
              </w:rPr>
              <w:t>135 000</w:t>
            </w:r>
          </w:p>
        </w:tc>
        <w:tc>
          <w:tcPr>
            <w:tcW w:w="120" w:type="pct"/>
            <w:tcBorders>
              <w:top w:val="nil"/>
              <w:left w:val="nil"/>
              <w:bottom w:val="nil"/>
              <w:right w:val="nil"/>
            </w:tcBorders>
            <w:shd w:val="clear" w:color="auto" w:fill="auto"/>
            <w:noWrap/>
            <w:vAlign w:val="bottom"/>
            <w:hideMark/>
          </w:tcPr>
          <w:p w14:paraId="72F087E4" w14:textId="77777777" w:rsidR="00221B29" w:rsidRPr="00221B29" w:rsidRDefault="00221B29" w:rsidP="00221B29"/>
        </w:tc>
        <w:tc>
          <w:tcPr>
            <w:tcW w:w="25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A30A4" w14:textId="77777777" w:rsidR="00221B29" w:rsidRPr="00221B29" w:rsidRDefault="00221B29" w:rsidP="00221B29">
            <w:r w:rsidRPr="00221B29">
              <w:t>Indirect costs (type 2) = 11.1 % of direct costs</w:t>
            </w:r>
          </w:p>
        </w:tc>
        <w:tc>
          <w:tcPr>
            <w:tcW w:w="545" w:type="pct"/>
            <w:tcBorders>
              <w:top w:val="single" w:sz="4" w:space="0" w:color="auto"/>
              <w:left w:val="nil"/>
              <w:bottom w:val="single" w:sz="4" w:space="0" w:color="auto"/>
              <w:right w:val="single" w:sz="4" w:space="0" w:color="auto"/>
            </w:tcBorders>
            <w:shd w:val="clear" w:color="auto" w:fill="auto"/>
            <w:noWrap/>
            <w:vAlign w:val="bottom"/>
            <w:hideMark/>
          </w:tcPr>
          <w:p w14:paraId="0648ABF8" w14:textId="77777777" w:rsidR="00221B29" w:rsidRPr="00221B29" w:rsidRDefault="00221B29" w:rsidP="00221B29">
            <w:r w:rsidRPr="00221B29">
              <w:t>14 500</w:t>
            </w:r>
          </w:p>
        </w:tc>
      </w:tr>
      <w:tr w:rsidR="00221B29" w:rsidRPr="00221B29" w14:paraId="2E548AF0" w14:textId="77777777">
        <w:trPr>
          <w:trHeight w:val="300"/>
        </w:trPr>
        <w:tc>
          <w:tcPr>
            <w:tcW w:w="1056" w:type="pct"/>
            <w:tcBorders>
              <w:top w:val="nil"/>
              <w:left w:val="single" w:sz="4" w:space="0" w:color="auto"/>
              <w:bottom w:val="nil"/>
              <w:right w:val="single" w:sz="4" w:space="0" w:color="auto"/>
            </w:tcBorders>
            <w:shd w:val="clear" w:color="auto" w:fill="auto"/>
            <w:noWrap/>
            <w:vAlign w:val="center"/>
            <w:hideMark/>
          </w:tcPr>
          <w:p w14:paraId="0CCE650D" w14:textId="77777777" w:rsidR="00221B29" w:rsidRPr="00221B29" w:rsidRDefault="00221B29" w:rsidP="00221B29">
            <w:r w:rsidRPr="00221B29">
              <w:t>Direct staff costs</w:t>
            </w:r>
          </w:p>
        </w:tc>
        <w:tc>
          <w:tcPr>
            <w:tcW w:w="729" w:type="pct"/>
            <w:tcBorders>
              <w:top w:val="nil"/>
              <w:left w:val="nil"/>
              <w:bottom w:val="nil"/>
              <w:right w:val="single" w:sz="4" w:space="0" w:color="auto"/>
            </w:tcBorders>
            <w:shd w:val="clear" w:color="auto" w:fill="auto"/>
            <w:noWrap/>
            <w:vAlign w:val="center"/>
            <w:hideMark/>
          </w:tcPr>
          <w:p w14:paraId="650760DD" w14:textId="77777777" w:rsidR="00221B29" w:rsidRPr="00221B29" w:rsidRDefault="00221B29" w:rsidP="00221B29">
            <w:r w:rsidRPr="00221B29">
              <w:t>90 000</w:t>
            </w:r>
          </w:p>
        </w:tc>
        <w:tc>
          <w:tcPr>
            <w:tcW w:w="120" w:type="pct"/>
            <w:tcBorders>
              <w:top w:val="nil"/>
              <w:left w:val="nil"/>
              <w:bottom w:val="nil"/>
              <w:right w:val="nil"/>
            </w:tcBorders>
            <w:shd w:val="clear" w:color="auto" w:fill="auto"/>
            <w:noWrap/>
            <w:vAlign w:val="bottom"/>
            <w:hideMark/>
          </w:tcPr>
          <w:p w14:paraId="671BE084" w14:textId="77777777" w:rsidR="00221B29" w:rsidRPr="00221B29" w:rsidRDefault="00221B29" w:rsidP="00221B29"/>
        </w:tc>
        <w:tc>
          <w:tcPr>
            <w:tcW w:w="2550" w:type="pct"/>
            <w:tcBorders>
              <w:top w:val="nil"/>
              <w:left w:val="nil"/>
              <w:bottom w:val="nil"/>
              <w:right w:val="nil"/>
            </w:tcBorders>
            <w:shd w:val="clear" w:color="auto" w:fill="auto"/>
            <w:noWrap/>
            <w:vAlign w:val="bottom"/>
            <w:hideMark/>
          </w:tcPr>
          <w:p w14:paraId="338106D0" w14:textId="77777777" w:rsidR="00221B29" w:rsidRPr="00221B29" w:rsidRDefault="00221B29" w:rsidP="00221B29">
            <w:r w:rsidRPr="00221B29">
              <w:rPr>
                <w:i/>
              </w:rPr>
              <w:t>(calculated)</w:t>
            </w:r>
          </w:p>
        </w:tc>
        <w:tc>
          <w:tcPr>
            <w:tcW w:w="545" w:type="pct"/>
            <w:tcBorders>
              <w:top w:val="nil"/>
              <w:left w:val="nil"/>
              <w:bottom w:val="nil"/>
              <w:right w:val="nil"/>
            </w:tcBorders>
            <w:shd w:val="clear" w:color="auto" w:fill="auto"/>
            <w:noWrap/>
            <w:vAlign w:val="bottom"/>
            <w:hideMark/>
          </w:tcPr>
          <w:p w14:paraId="77EF31C0" w14:textId="77777777" w:rsidR="00221B29" w:rsidRPr="00221B29" w:rsidRDefault="00221B29" w:rsidP="00221B29"/>
        </w:tc>
      </w:tr>
      <w:tr w:rsidR="00221B29" w:rsidRPr="00221B29" w14:paraId="35753BCA" w14:textId="77777777">
        <w:trPr>
          <w:trHeight w:val="315"/>
        </w:trPr>
        <w:tc>
          <w:tcPr>
            <w:tcW w:w="1056" w:type="pct"/>
            <w:tcBorders>
              <w:top w:val="nil"/>
              <w:left w:val="single" w:sz="4" w:space="0" w:color="auto"/>
              <w:bottom w:val="nil"/>
              <w:right w:val="single" w:sz="4" w:space="0" w:color="auto"/>
            </w:tcBorders>
            <w:shd w:val="clear" w:color="auto" w:fill="auto"/>
            <w:noWrap/>
            <w:vAlign w:val="center"/>
            <w:hideMark/>
          </w:tcPr>
          <w:p w14:paraId="7C62DA26" w14:textId="77777777" w:rsidR="00221B29" w:rsidRPr="00221B29" w:rsidRDefault="00221B29" w:rsidP="00221B29">
            <w:r w:rsidRPr="00221B29">
              <w:t>Room costs</w:t>
            </w:r>
          </w:p>
        </w:tc>
        <w:tc>
          <w:tcPr>
            <w:tcW w:w="729" w:type="pct"/>
            <w:tcBorders>
              <w:top w:val="nil"/>
              <w:left w:val="nil"/>
              <w:bottom w:val="nil"/>
              <w:right w:val="single" w:sz="4" w:space="0" w:color="auto"/>
            </w:tcBorders>
            <w:shd w:val="clear" w:color="auto" w:fill="auto"/>
            <w:noWrap/>
            <w:vAlign w:val="center"/>
            <w:hideMark/>
          </w:tcPr>
          <w:p w14:paraId="7757D026" w14:textId="77777777" w:rsidR="00221B29" w:rsidRPr="00221B29" w:rsidRDefault="00221B29" w:rsidP="00221B29">
            <w:r w:rsidRPr="00221B29">
              <w:t>12 000</w:t>
            </w:r>
          </w:p>
        </w:tc>
        <w:tc>
          <w:tcPr>
            <w:tcW w:w="120" w:type="pct"/>
            <w:tcBorders>
              <w:top w:val="nil"/>
              <w:left w:val="nil"/>
              <w:bottom w:val="nil"/>
              <w:right w:val="nil"/>
            </w:tcBorders>
            <w:shd w:val="clear" w:color="auto" w:fill="auto"/>
            <w:noWrap/>
            <w:vAlign w:val="bottom"/>
            <w:hideMark/>
          </w:tcPr>
          <w:p w14:paraId="7ED934D1" w14:textId="77777777" w:rsidR="00221B29" w:rsidRPr="00221B29" w:rsidRDefault="00221B29" w:rsidP="00221B29"/>
        </w:tc>
        <w:tc>
          <w:tcPr>
            <w:tcW w:w="2550" w:type="pct"/>
            <w:tcBorders>
              <w:top w:val="nil"/>
              <w:left w:val="nil"/>
              <w:bottom w:val="single" w:sz="8" w:space="0" w:color="auto"/>
              <w:right w:val="nil"/>
            </w:tcBorders>
            <w:shd w:val="clear" w:color="auto" w:fill="auto"/>
            <w:noWrap/>
            <w:vAlign w:val="bottom"/>
            <w:hideMark/>
          </w:tcPr>
          <w:p w14:paraId="6DCC2F3B" w14:textId="77777777" w:rsidR="00221B29" w:rsidRPr="00221B29" w:rsidRDefault="00221B29" w:rsidP="00221B29"/>
        </w:tc>
        <w:tc>
          <w:tcPr>
            <w:tcW w:w="545" w:type="pct"/>
            <w:tcBorders>
              <w:top w:val="nil"/>
              <w:left w:val="nil"/>
              <w:bottom w:val="single" w:sz="8" w:space="0" w:color="auto"/>
              <w:right w:val="nil"/>
            </w:tcBorders>
            <w:shd w:val="clear" w:color="auto" w:fill="auto"/>
            <w:noWrap/>
            <w:vAlign w:val="bottom"/>
            <w:hideMark/>
          </w:tcPr>
          <w:p w14:paraId="4D3CEDA2" w14:textId="77777777" w:rsidR="00221B29" w:rsidRPr="00221B29" w:rsidRDefault="00221B29" w:rsidP="00221B29"/>
        </w:tc>
      </w:tr>
      <w:tr w:rsidR="00221B29" w:rsidRPr="00221B29" w14:paraId="21ABCF0F" w14:textId="77777777">
        <w:trPr>
          <w:trHeight w:val="315"/>
        </w:trPr>
        <w:tc>
          <w:tcPr>
            <w:tcW w:w="1056" w:type="pct"/>
            <w:tcBorders>
              <w:top w:val="nil"/>
              <w:left w:val="single" w:sz="4" w:space="0" w:color="auto"/>
              <w:bottom w:val="nil"/>
              <w:right w:val="single" w:sz="4" w:space="0" w:color="auto"/>
            </w:tcBorders>
            <w:shd w:val="clear" w:color="auto" w:fill="auto"/>
            <w:noWrap/>
            <w:vAlign w:val="center"/>
            <w:hideMark/>
          </w:tcPr>
          <w:p w14:paraId="6D838959" w14:textId="77777777" w:rsidR="00221B29" w:rsidRPr="00221B29" w:rsidRDefault="00221B29" w:rsidP="00221B29">
            <w:r w:rsidRPr="00221B29">
              <w:t>Travel costs</w:t>
            </w:r>
          </w:p>
        </w:tc>
        <w:tc>
          <w:tcPr>
            <w:tcW w:w="729" w:type="pct"/>
            <w:tcBorders>
              <w:top w:val="nil"/>
              <w:left w:val="nil"/>
              <w:bottom w:val="nil"/>
              <w:right w:val="single" w:sz="4" w:space="0" w:color="auto"/>
            </w:tcBorders>
            <w:shd w:val="clear" w:color="auto" w:fill="auto"/>
            <w:noWrap/>
            <w:vAlign w:val="center"/>
            <w:hideMark/>
          </w:tcPr>
          <w:p w14:paraId="6A391AC8" w14:textId="77777777" w:rsidR="00221B29" w:rsidRPr="00221B29" w:rsidRDefault="00221B29" w:rsidP="00221B29">
            <w:r w:rsidRPr="00221B29">
              <w:t>15 000</w:t>
            </w:r>
          </w:p>
        </w:tc>
        <w:tc>
          <w:tcPr>
            <w:tcW w:w="120" w:type="pct"/>
            <w:tcBorders>
              <w:top w:val="nil"/>
              <w:left w:val="nil"/>
              <w:bottom w:val="nil"/>
              <w:right w:val="nil"/>
            </w:tcBorders>
            <w:shd w:val="clear" w:color="auto" w:fill="auto"/>
            <w:noWrap/>
            <w:vAlign w:val="bottom"/>
            <w:hideMark/>
          </w:tcPr>
          <w:p w14:paraId="2BC569D0" w14:textId="77777777" w:rsidR="00221B29" w:rsidRPr="00221B29" w:rsidRDefault="00221B29" w:rsidP="00221B29"/>
        </w:tc>
        <w:tc>
          <w:tcPr>
            <w:tcW w:w="2550" w:type="pct"/>
            <w:tcBorders>
              <w:top w:val="single" w:sz="8" w:space="0" w:color="auto"/>
              <w:left w:val="single" w:sz="8" w:space="0" w:color="auto"/>
              <w:bottom w:val="single" w:sz="8" w:space="0" w:color="auto"/>
              <w:right w:val="single" w:sz="4" w:space="0" w:color="auto"/>
            </w:tcBorders>
            <w:shd w:val="clear" w:color="auto" w:fill="A6A6A6"/>
            <w:noWrap/>
            <w:vAlign w:val="bottom"/>
            <w:hideMark/>
          </w:tcPr>
          <w:p w14:paraId="4F790D67" w14:textId="77777777" w:rsidR="00221B29" w:rsidRPr="00221B29" w:rsidRDefault="00221B29" w:rsidP="00221B29">
            <w:r w:rsidRPr="00221B29">
              <w:t xml:space="preserve">Total eligible costs </w:t>
            </w:r>
          </w:p>
        </w:tc>
        <w:tc>
          <w:tcPr>
            <w:tcW w:w="545" w:type="pct"/>
            <w:tcBorders>
              <w:top w:val="single" w:sz="8" w:space="0" w:color="auto"/>
              <w:left w:val="nil"/>
              <w:bottom w:val="single" w:sz="8" w:space="0" w:color="auto"/>
              <w:right w:val="single" w:sz="8" w:space="0" w:color="auto"/>
            </w:tcBorders>
            <w:shd w:val="clear" w:color="auto" w:fill="A6A6A6"/>
            <w:noWrap/>
            <w:vAlign w:val="bottom"/>
            <w:hideMark/>
          </w:tcPr>
          <w:p w14:paraId="72041523" w14:textId="77777777" w:rsidR="00221B29" w:rsidRPr="00221B29" w:rsidRDefault="00221B29" w:rsidP="00221B29">
            <w:r w:rsidRPr="00221B29">
              <w:t>149 500</w:t>
            </w:r>
          </w:p>
        </w:tc>
      </w:tr>
      <w:tr w:rsidR="00221B29" w:rsidRPr="00221B29" w14:paraId="18317955" w14:textId="77777777">
        <w:trPr>
          <w:trHeight w:val="300"/>
        </w:trPr>
        <w:tc>
          <w:tcPr>
            <w:tcW w:w="1056" w:type="pct"/>
            <w:tcBorders>
              <w:top w:val="nil"/>
              <w:left w:val="single" w:sz="4" w:space="0" w:color="auto"/>
              <w:bottom w:val="nil"/>
              <w:right w:val="single" w:sz="4" w:space="0" w:color="auto"/>
            </w:tcBorders>
            <w:shd w:val="clear" w:color="auto" w:fill="auto"/>
            <w:noWrap/>
            <w:vAlign w:val="center"/>
            <w:hideMark/>
          </w:tcPr>
          <w:p w14:paraId="5733494A" w14:textId="77777777" w:rsidR="00221B29" w:rsidRPr="00221B29" w:rsidRDefault="00221B29" w:rsidP="00221B29">
            <w:r w:rsidRPr="00221B29">
              <w:t>Meals</w:t>
            </w:r>
          </w:p>
        </w:tc>
        <w:tc>
          <w:tcPr>
            <w:tcW w:w="729" w:type="pct"/>
            <w:tcBorders>
              <w:top w:val="nil"/>
              <w:left w:val="nil"/>
              <w:bottom w:val="nil"/>
              <w:right w:val="single" w:sz="4" w:space="0" w:color="auto"/>
            </w:tcBorders>
            <w:shd w:val="clear" w:color="auto" w:fill="auto"/>
            <w:noWrap/>
            <w:vAlign w:val="center"/>
            <w:hideMark/>
          </w:tcPr>
          <w:p w14:paraId="658F89BA" w14:textId="77777777" w:rsidR="00221B29" w:rsidRPr="00221B29" w:rsidRDefault="00221B29" w:rsidP="00221B29">
            <w:r w:rsidRPr="00221B29">
              <w:t>3 000</w:t>
            </w:r>
          </w:p>
        </w:tc>
        <w:tc>
          <w:tcPr>
            <w:tcW w:w="120" w:type="pct"/>
            <w:tcBorders>
              <w:top w:val="nil"/>
              <w:left w:val="nil"/>
              <w:bottom w:val="nil"/>
              <w:right w:val="nil"/>
            </w:tcBorders>
            <w:shd w:val="clear" w:color="auto" w:fill="auto"/>
            <w:noWrap/>
            <w:vAlign w:val="bottom"/>
            <w:hideMark/>
          </w:tcPr>
          <w:p w14:paraId="4EA38959" w14:textId="77777777" w:rsidR="00221B29" w:rsidRPr="00221B29" w:rsidRDefault="00221B29" w:rsidP="00221B29"/>
        </w:tc>
        <w:tc>
          <w:tcPr>
            <w:tcW w:w="2550" w:type="pct"/>
            <w:tcBorders>
              <w:top w:val="nil"/>
              <w:left w:val="nil"/>
              <w:bottom w:val="nil"/>
              <w:right w:val="nil"/>
            </w:tcBorders>
            <w:shd w:val="clear" w:color="auto" w:fill="auto"/>
            <w:noWrap/>
            <w:vAlign w:val="bottom"/>
            <w:hideMark/>
          </w:tcPr>
          <w:p w14:paraId="72D900EF" w14:textId="77777777" w:rsidR="00221B29" w:rsidRPr="00221B29" w:rsidRDefault="00221B29" w:rsidP="00221B29"/>
        </w:tc>
        <w:tc>
          <w:tcPr>
            <w:tcW w:w="545" w:type="pct"/>
            <w:tcBorders>
              <w:top w:val="nil"/>
              <w:left w:val="nil"/>
              <w:bottom w:val="nil"/>
              <w:right w:val="nil"/>
            </w:tcBorders>
            <w:shd w:val="clear" w:color="auto" w:fill="auto"/>
            <w:noWrap/>
            <w:vAlign w:val="bottom"/>
            <w:hideMark/>
          </w:tcPr>
          <w:p w14:paraId="0A05B65B" w14:textId="77777777" w:rsidR="00221B29" w:rsidRPr="00221B29" w:rsidRDefault="00221B29" w:rsidP="00221B29"/>
        </w:tc>
      </w:tr>
      <w:tr w:rsidR="00221B29" w:rsidRPr="00221B29" w14:paraId="33B3C383" w14:textId="77777777">
        <w:trPr>
          <w:trHeight w:val="300"/>
        </w:trPr>
        <w:tc>
          <w:tcPr>
            <w:tcW w:w="1056" w:type="pct"/>
            <w:tcBorders>
              <w:top w:val="nil"/>
              <w:left w:val="single" w:sz="4" w:space="0" w:color="auto"/>
              <w:bottom w:val="single" w:sz="4" w:space="0" w:color="auto"/>
              <w:right w:val="single" w:sz="4" w:space="0" w:color="auto"/>
            </w:tcBorders>
            <w:shd w:val="clear" w:color="auto" w:fill="auto"/>
            <w:noWrap/>
            <w:vAlign w:val="center"/>
            <w:hideMark/>
          </w:tcPr>
          <w:p w14:paraId="3D08752A" w14:textId="77777777" w:rsidR="00221B29" w:rsidRPr="00221B29" w:rsidRDefault="00221B29" w:rsidP="00221B29">
            <w:r w:rsidRPr="00221B29">
              <w:t>Information/ Publicity</w:t>
            </w:r>
          </w:p>
        </w:tc>
        <w:tc>
          <w:tcPr>
            <w:tcW w:w="729" w:type="pct"/>
            <w:tcBorders>
              <w:top w:val="nil"/>
              <w:left w:val="nil"/>
              <w:bottom w:val="single" w:sz="4" w:space="0" w:color="auto"/>
              <w:right w:val="single" w:sz="4" w:space="0" w:color="auto"/>
            </w:tcBorders>
            <w:shd w:val="clear" w:color="auto" w:fill="auto"/>
            <w:noWrap/>
            <w:vAlign w:val="center"/>
            <w:hideMark/>
          </w:tcPr>
          <w:p w14:paraId="0883AA72" w14:textId="77777777" w:rsidR="00221B29" w:rsidRPr="00221B29" w:rsidRDefault="00221B29" w:rsidP="00221B29">
            <w:r w:rsidRPr="00221B29">
              <w:t>15 000</w:t>
            </w:r>
          </w:p>
        </w:tc>
        <w:tc>
          <w:tcPr>
            <w:tcW w:w="120" w:type="pct"/>
            <w:tcBorders>
              <w:top w:val="nil"/>
              <w:left w:val="nil"/>
              <w:bottom w:val="nil"/>
              <w:right w:val="nil"/>
            </w:tcBorders>
            <w:shd w:val="clear" w:color="auto" w:fill="auto"/>
            <w:noWrap/>
            <w:vAlign w:val="bottom"/>
            <w:hideMark/>
          </w:tcPr>
          <w:p w14:paraId="3E2E9741" w14:textId="77777777" w:rsidR="00221B29" w:rsidRPr="00221B29" w:rsidRDefault="00221B29" w:rsidP="00221B29"/>
        </w:tc>
        <w:tc>
          <w:tcPr>
            <w:tcW w:w="2550" w:type="pct"/>
            <w:tcBorders>
              <w:top w:val="nil"/>
              <w:left w:val="nil"/>
              <w:bottom w:val="nil"/>
              <w:right w:val="nil"/>
            </w:tcBorders>
            <w:shd w:val="clear" w:color="auto" w:fill="auto"/>
            <w:noWrap/>
            <w:vAlign w:val="bottom"/>
            <w:hideMark/>
          </w:tcPr>
          <w:p w14:paraId="1C6D692A" w14:textId="77777777" w:rsidR="00221B29" w:rsidRPr="00221B29" w:rsidRDefault="00221B29" w:rsidP="00221B29"/>
        </w:tc>
        <w:tc>
          <w:tcPr>
            <w:tcW w:w="545" w:type="pct"/>
            <w:tcBorders>
              <w:top w:val="nil"/>
              <w:left w:val="nil"/>
              <w:bottom w:val="nil"/>
              <w:right w:val="nil"/>
            </w:tcBorders>
            <w:shd w:val="clear" w:color="auto" w:fill="auto"/>
            <w:noWrap/>
            <w:vAlign w:val="bottom"/>
            <w:hideMark/>
          </w:tcPr>
          <w:p w14:paraId="2C682DDA" w14:textId="77777777" w:rsidR="00221B29" w:rsidRPr="00221B29" w:rsidRDefault="00221B29" w:rsidP="00221B29"/>
        </w:tc>
      </w:tr>
      <w:tr w:rsidR="00221B29" w:rsidRPr="00221B29" w14:paraId="27B8626C" w14:textId="77777777">
        <w:trPr>
          <w:trHeight w:val="300"/>
        </w:trPr>
        <w:tc>
          <w:tcPr>
            <w:tcW w:w="1904" w:type="pct"/>
            <w:gridSpan w:val="3"/>
            <w:tcBorders>
              <w:top w:val="nil"/>
              <w:left w:val="nil"/>
              <w:bottom w:val="nil"/>
              <w:right w:val="nil"/>
            </w:tcBorders>
            <w:shd w:val="clear" w:color="auto" w:fill="auto"/>
            <w:noWrap/>
            <w:vAlign w:val="bottom"/>
            <w:hideMark/>
          </w:tcPr>
          <w:p w14:paraId="12603EBA" w14:textId="77777777" w:rsidR="00221B29" w:rsidRPr="00221B29" w:rsidRDefault="00221B29" w:rsidP="00221B29">
            <w:pPr>
              <w:rPr>
                <w:i/>
              </w:rPr>
            </w:pPr>
            <w:r w:rsidRPr="00221B29">
              <w:rPr>
                <w:i/>
              </w:rPr>
              <w:t>(Generally based on real costs)</w:t>
            </w:r>
          </w:p>
        </w:tc>
        <w:tc>
          <w:tcPr>
            <w:tcW w:w="2550" w:type="pct"/>
            <w:tcBorders>
              <w:top w:val="nil"/>
              <w:left w:val="nil"/>
              <w:bottom w:val="nil"/>
              <w:right w:val="nil"/>
            </w:tcBorders>
            <w:shd w:val="clear" w:color="auto" w:fill="auto"/>
            <w:noWrap/>
            <w:vAlign w:val="bottom"/>
            <w:hideMark/>
          </w:tcPr>
          <w:p w14:paraId="115319A6" w14:textId="77777777" w:rsidR="00221B29" w:rsidRPr="00221B29" w:rsidRDefault="00221B29" w:rsidP="00221B29"/>
        </w:tc>
        <w:tc>
          <w:tcPr>
            <w:tcW w:w="545" w:type="pct"/>
            <w:tcBorders>
              <w:top w:val="nil"/>
              <w:left w:val="nil"/>
              <w:bottom w:val="nil"/>
              <w:right w:val="nil"/>
            </w:tcBorders>
            <w:shd w:val="clear" w:color="auto" w:fill="auto"/>
            <w:noWrap/>
            <w:vAlign w:val="bottom"/>
            <w:hideMark/>
          </w:tcPr>
          <w:p w14:paraId="3C0BB1FF" w14:textId="77777777" w:rsidR="00221B29" w:rsidRPr="00221B29" w:rsidRDefault="00221B29" w:rsidP="00221B29"/>
        </w:tc>
      </w:tr>
    </w:tbl>
    <w:p w14:paraId="67A49A74" w14:textId="77777777" w:rsidR="00221B29" w:rsidRPr="009E57FF" w:rsidRDefault="00221B29" w:rsidP="00221B29">
      <w:pPr>
        <w:rPr>
          <w:b/>
          <w:bCs/>
          <w:color w:val="4472C4" w:themeColor="accent1"/>
        </w:rPr>
      </w:pPr>
      <w:r w:rsidRPr="009E57FF">
        <w:rPr>
          <w:b/>
          <w:bCs/>
          <w:color w:val="4472C4" w:themeColor="accent1"/>
        </w:rPr>
        <w:t>Audit trail: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1"/>
        <w:gridCol w:w="5785"/>
      </w:tblGrid>
      <w:tr w:rsidR="00221B29" w:rsidRPr="00221B29" w14:paraId="5C82D35A" w14:textId="77777777">
        <w:trPr>
          <w:trHeight w:val="999"/>
        </w:trPr>
        <w:tc>
          <w:tcPr>
            <w:tcW w:w="1792" w:type="pct"/>
            <w:shd w:val="clear" w:color="auto" w:fill="auto"/>
          </w:tcPr>
          <w:p w14:paraId="30C65073" w14:textId="77777777" w:rsidR="00221B29" w:rsidRPr="00221B29" w:rsidRDefault="00221B29" w:rsidP="00221B29">
            <w:pPr>
              <w:rPr>
                <w:i/>
              </w:rPr>
            </w:pPr>
            <w:r w:rsidRPr="00221B29">
              <w:rPr>
                <w:i/>
              </w:rPr>
              <w:t>Categories of eligible costs to which the flat rate is to be applied to calculate the eligible amounts</w:t>
            </w:r>
          </w:p>
        </w:tc>
        <w:tc>
          <w:tcPr>
            <w:tcW w:w="3208" w:type="pct"/>
            <w:shd w:val="clear" w:color="auto" w:fill="auto"/>
          </w:tcPr>
          <w:p w14:paraId="43090C5E" w14:textId="77777777" w:rsidR="00221B29" w:rsidRPr="00221B29" w:rsidRDefault="00221B29" w:rsidP="00221B29">
            <w:r w:rsidRPr="00221B29">
              <w:t xml:space="preserve">Direct costs = </w:t>
            </w:r>
          </w:p>
          <w:p w14:paraId="4D2C3BA7" w14:textId="77777777" w:rsidR="00221B29" w:rsidRPr="00221B29" w:rsidRDefault="00221B29" w:rsidP="00221B29">
            <w:pPr>
              <w:numPr>
                <w:ilvl w:val="0"/>
                <w:numId w:val="80"/>
              </w:numPr>
            </w:pPr>
            <w:r w:rsidRPr="00221B29">
              <w:t xml:space="preserve">clear definition of what direct costs </w:t>
            </w:r>
            <w:proofErr w:type="gramStart"/>
            <w:r w:rsidRPr="00221B29">
              <w:t>are;</w:t>
            </w:r>
            <w:proofErr w:type="gramEnd"/>
          </w:p>
          <w:p w14:paraId="34F956C7" w14:textId="77777777" w:rsidR="00221B29" w:rsidRPr="00221B29" w:rsidRDefault="00221B29" w:rsidP="00221B29">
            <w:pPr>
              <w:numPr>
                <w:ilvl w:val="0"/>
                <w:numId w:val="80"/>
              </w:numPr>
            </w:pPr>
            <w:r w:rsidRPr="00221B29">
              <w:t>proof of these costs (pay slips, timesheets if relevant, proof of publicity and invoice, etc.)</w:t>
            </w:r>
          </w:p>
        </w:tc>
      </w:tr>
      <w:tr w:rsidR="00221B29" w:rsidRPr="00221B29" w14:paraId="25DD56C3" w14:textId="77777777">
        <w:tc>
          <w:tcPr>
            <w:tcW w:w="1792" w:type="pct"/>
            <w:shd w:val="clear" w:color="auto" w:fill="auto"/>
          </w:tcPr>
          <w:p w14:paraId="21F31357" w14:textId="77777777" w:rsidR="00221B29" w:rsidRPr="00221B29" w:rsidRDefault="00221B29" w:rsidP="00221B29">
            <w:pPr>
              <w:rPr>
                <w:i/>
              </w:rPr>
            </w:pPr>
            <w:r w:rsidRPr="00221B29">
              <w:rPr>
                <w:i/>
              </w:rPr>
              <w:t>The flat rate</w:t>
            </w:r>
          </w:p>
        </w:tc>
        <w:tc>
          <w:tcPr>
            <w:tcW w:w="3208" w:type="pct"/>
            <w:shd w:val="clear" w:color="auto" w:fill="auto"/>
          </w:tcPr>
          <w:p w14:paraId="0539BCD0" w14:textId="77777777" w:rsidR="00221B29" w:rsidRPr="00221B29" w:rsidRDefault="00221B29" w:rsidP="00221B29">
            <w:r w:rsidRPr="00221B29">
              <w:t>Reference to the method chosen for the flat rate, and:</w:t>
            </w:r>
          </w:p>
          <w:p w14:paraId="130D20A0" w14:textId="77777777" w:rsidR="00221B29" w:rsidRPr="00221B29" w:rsidRDefault="00221B29" w:rsidP="00221B29">
            <w:pPr>
              <w:numPr>
                <w:ilvl w:val="0"/>
                <w:numId w:val="80"/>
              </w:numPr>
            </w:pPr>
            <w:r w:rsidRPr="00221B29">
              <w:t xml:space="preserve">For a) at the level of the managing authority, need to store the document proving the calculation </w:t>
            </w:r>
            <w:proofErr w:type="gramStart"/>
            <w:r w:rsidRPr="00221B29">
              <w:t>method;</w:t>
            </w:r>
            <w:proofErr w:type="gramEnd"/>
          </w:p>
          <w:p w14:paraId="79A96247" w14:textId="77777777" w:rsidR="00221B29" w:rsidRPr="00221B29" w:rsidRDefault="00221B29" w:rsidP="00221B29">
            <w:pPr>
              <w:numPr>
                <w:ilvl w:val="0"/>
                <w:numId w:val="80"/>
              </w:numPr>
            </w:pPr>
            <w:r w:rsidRPr="00221B29">
              <w:t xml:space="preserve">For b) correct application of the methodology and proof that the beneficiary and the type of operations are </w:t>
            </w:r>
            <w:proofErr w:type="gramStart"/>
            <w:r w:rsidRPr="00221B29">
              <w:t>similar;</w:t>
            </w:r>
            <w:proofErr w:type="gramEnd"/>
          </w:p>
          <w:p w14:paraId="722C3AEC" w14:textId="77777777" w:rsidR="00221B29" w:rsidRPr="00221B29" w:rsidRDefault="00221B29" w:rsidP="00221B29">
            <w:pPr>
              <w:numPr>
                <w:ilvl w:val="0"/>
                <w:numId w:val="80"/>
              </w:numPr>
            </w:pPr>
            <w:r w:rsidRPr="00221B29">
              <w:lastRenderedPageBreak/>
              <w:t xml:space="preserve">For c) proof that the methodology is applied for schemes for grants funded entirely by the MS and proof that the beneficiary and the type of operations are similar. </w:t>
            </w:r>
          </w:p>
        </w:tc>
      </w:tr>
      <w:tr w:rsidR="00221B29" w:rsidRPr="00221B29" w14:paraId="2FE1110D" w14:textId="77777777">
        <w:tc>
          <w:tcPr>
            <w:tcW w:w="1792" w:type="pct"/>
            <w:shd w:val="clear" w:color="auto" w:fill="auto"/>
          </w:tcPr>
          <w:p w14:paraId="37564763" w14:textId="77777777" w:rsidR="00221B29" w:rsidRPr="00221B29" w:rsidRDefault="00221B29" w:rsidP="00221B29">
            <w:pPr>
              <w:rPr>
                <w:i/>
              </w:rPr>
            </w:pPr>
            <w:r w:rsidRPr="00221B29">
              <w:rPr>
                <w:i/>
              </w:rPr>
              <w:lastRenderedPageBreak/>
              <w:t xml:space="preserve">Categories of eligible costs that will be </w:t>
            </w:r>
            <w:r w:rsidRPr="00A838F4">
              <w:rPr>
                <w:b/>
                <w:i/>
                <w:color w:val="4472C4" w:themeColor="accent1"/>
              </w:rPr>
              <w:t>calculated</w:t>
            </w:r>
            <w:r w:rsidRPr="00A838F4">
              <w:rPr>
                <w:i/>
                <w:color w:val="4472C4" w:themeColor="accent1"/>
              </w:rPr>
              <w:t xml:space="preserve"> </w:t>
            </w:r>
            <w:r w:rsidRPr="00221B29">
              <w:rPr>
                <w:i/>
              </w:rPr>
              <w:t>with the flat rate</w:t>
            </w:r>
          </w:p>
        </w:tc>
        <w:tc>
          <w:tcPr>
            <w:tcW w:w="3208" w:type="pct"/>
            <w:shd w:val="clear" w:color="auto" w:fill="auto"/>
          </w:tcPr>
          <w:p w14:paraId="03FD84EC" w14:textId="77777777" w:rsidR="00221B29" w:rsidRPr="00221B29" w:rsidRDefault="00221B29" w:rsidP="00221B29">
            <w:r w:rsidRPr="00221B29">
              <w:t xml:space="preserve">No justification needed. </w:t>
            </w:r>
          </w:p>
        </w:tc>
      </w:tr>
    </w:tbl>
    <w:p w14:paraId="6857E5DA" w14:textId="6298588A" w:rsidR="00221B29" w:rsidRPr="00221B29" w:rsidRDefault="00221B29" w:rsidP="00221B29">
      <w:pPr>
        <w:rPr>
          <w:b/>
          <w:bCs/>
        </w:rPr>
      </w:pPr>
      <w:r w:rsidRPr="00A838F4">
        <w:rPr>
          <w:b/>
          <w:bCs/>
          <w:color w:val="4472C4" w:themeColor="accent1"/>
        </w:rPr>
        <w:t xml:space="preserve">Option 3: Flat rate financing for indirect costs </w:t>
      </w:r>
      <w:r w:rsidRPr="00A838F4">
        <w:rPr>
          <w:color w:val="4472C4" w:themeColor="accent1"/>
        </w:rPr>
        <w:t>(</w:t>
      </w:r>
      <w:r w:rsidRPr="00A838F4">
        <w:rPr>
          <w:b/>
          <w:bCs/>
          <w:color w:val="4472C4" w:themeColor="accent1"/>
        </w:rPr>
        <w:t>Article 54</w:t>
      </w:r>
      <w:r w:rsidR="00A838F4" w:rsidRPr="00A838F4">
        <w:rPr>
          <w:b/>
          <w:bCs/>
          <w:color w:val="4472C4" w:themeColor="accent1"/>
        </w:rPr>
        <w:t xml:space="preserve">(a) and (b) </w:t>
      </w:r>
      <w:r w:rsidRPr="00A838F4">
        <w:rPr>
          <w:b/>
          <w:bCs/>
          <w:color w:val="4472C4" w:themeColor="accent1"/>
        </w:rPr>
        <w:t>CPR</w:t>
      </w:r>
      <w:r w:rsidRPr="00A838F4">
        <w:rPr>
          <w:color w:val="4472C4" w:themeColor="accent1"/>
        </w:rPr>
        <w:t>)</w:t>
      </w:r>
    </w:p>
    <w:p w14:paraId="6E4005B0" w14:textId="489477E5" w:rsidR="00221B29" w:rsidRPr="00221B29" w:rsidRDefault="00221B29" w:rsidP="00221B29">
      <w:r w:rsidRPr="00221B29">
        <w:t xml:space="preserve">The Member State may decide to opt for one of the flat rate systems provided for in points (a) or (b) of the first subparagraph of Article 54 CPR:  a flat rate of </w:t>
      </w:r>
      <w:r w:rsidRPr="00A838F4">
        <w:rPr>
          <w:b/>
          <w:bCs/>
          <w:color w:val="4472C4" w:themeColor="accent1"/>
        </w:rPr>
        <w:t>up to 7% to calculate indirect costs on the basis of eligible direct costs (Article 54</w:t>
      </w:r>
      <w:r w:rsidR="00A838F4">
        <w:rPr>
          <w:b/>
          <w:bCs/>
          <w:color w:val="4472C4" w:themeColor="accent1"/>
        </w:rPr>
        <w:t>(a)</w:t>
      </w:r>
      <w:r w:rsidRPr="00A838F4">
        <w:rPr>
          <w:b/>
          <w:bCs/>
          <w:color w:val="4472C4" w:themeColor="accent1"/>
        </w:rPr>
        <w:t xml:space="preserve"> CPR), or a flat rate of up to 15 % to calculate the indirect cost applicable only to the eligible direct staff costs (Article 54</w:t>
      </w:r>
      <w:r w:rsidR="00A838F4">
        <w:rPr>
          <w:b/>
          <w:bCs/>
          <w:color w:val="4472C4" w:themeColor="accent1"/>
        </w:rPr>
        <w:t>(b)</w:t>
      </w:r>
      <w:r w:rsidRPr="00A838F4">
        <w:rPr>
          <w:b/>
          <w:bCs/>
          <w:color w:val="4472C4" w:themeColor="accent1"/>
        </w:rPr>
        <w:t xml:space="preserve"> CPR)</w:t>
      </w:r>
      <w:r w:rsidRPr="00221B29">
        <w:t xml:space="preserve">. In the example, the 15% flat rate of point (b) of the first subparagraph of Article 54 is chosen. There is </w:t>
      </w:r>
      <w:r w:rsidRPr="00221B29">
        <w:rPr>
          <w:u w:val="single"/>
        </w:rPr>
        <w:t>no need to justify the rate</w:t>
      </w:r>
      <w:r w:rsidRPr="00221B29">
        <w:t xml:space="preserve"> itself given that it is specified by the Regulation.</w:t>
      </w:r>
    </w:p>
    <w:p w14:paraId="29273616" w14:textId="77777777" w:rsidR="00221B29" w:rsidRPr="00221B29" w:rsidRDefault="00221B29" w:rsidP="00221B2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3379"/>
      </w:tblGrid>
      <w:tr w:rsidR="00221B29" w:rsidRPr="00221B29" w14:paraId="3AF46894" w14:textId="77777777">
        <w:tc>
          <w:tcPr>
            <w:tcW w:w="3126" w:type="pct"/>
            <w:shd w:val="clear" w:color="auto" w:fill="auto"/>
          </w:tcPr>
          <w:p w14:paraId="6052BB4A" w14:textId="77777777" w:rsidR="00221B29" w:rsidRPr="00221B29" w:rsidRDefault="00221B29" w:rsidP="00221B29">
            <w:pPr>
              <w:rPr>
                <w:i/>
              </w:rPr>
            </w:pPr>
            <w:r w:rsidRPr="00221B29">
              <w:rPr>
                <w:i/>
              </w:rPr>
              <w:t>Categories of eligible costs to which the flat rate is to be applied to calculate the eligible amounts (type 1)</w:t>
            </w:r>
          </w:p>
        </w:tc>
        <w:tc>
          <w:tcPr>
            <w:tcW w:w="1874" w:type="pct"/>
            <w:shd w:val="clear" w:color="auto" w:fill="auto"/>
          </w:tcPr>
          <w:p w14:paraId="60E7E2CB" w14:textId="77777777" w:rsidR="00221B29" w:rsidRPr="00221B29" w:rsidRDefault="00221B29" w:rsidP="00221B29">
            <w:r w:rsidRPr="00221B29">
              <w:t>Direct staff costs = EUR 90 000</w:t>
            </w:r>
          </w:p>
        </w:tc>
      </w:tr>
      <w:tr w:rsidR="00221B29" w:rsidRPr="00221B29" w14:paraId="4407E1DD" w14:textId="77777777">
        <w:tc>
          <w:tcPr>
            <w:tcW w:w="3126" w:type="pct"/>
            <w:shd w:val="clear" w:color="auto" w:fill="auto"/>
          </w:tcPr>
          <w:p w14:paraId="4D5CBFA5" w14:textId="77777777" w:rsidR="00221B29" w:rsidRPr="00221B29" w:rsidRDefault="00221B29" w:rsidP="00221B29">
            <w:pPr>
              <w:rPr>
                <w:i/>
              </w:rPr>
            </w:pPr>
            <w:r w:rsidRPr="00221B29">
              <w:rPr>
                <w:i/>
              </w:rPr>
              <w:t>The flat rate</w:t>
            </w:r>
          </w:p>
        </w:tc>
        <w:tc>
          <w:tcPr>
            <w:tcW w:w="1874" w:type="pct"/>
            <w:shd w:val="clear" w:color="auto" w:fill="auto"/>
          </w:tcPr>
          <w:p w14:paraId="7A30FA86" w14:textId="77777777" w:rsidR="00221B29" w:rsidRPr="00221B29" w:rsidRDefault="00221B29" w:rsidP="00221B29">
            <w:r w:rsidRPr="00221B29">
              <w:t>15 % (no justification needed)</w:t>
            </w:r>
          </w:p>
        </w:tc>
      </w:tr>
      <w:tr w:rsidR="00221B29" w:rsidRPr="00221B29" w14:paraId="5E025094" w14:textId="77777777">
        <w:tc>
          <w:tcPr>
            <w:tcW w:w="3126" w:type="pct"/>
            <w:shd w:val="clear" w:color="auto" w:fill="auto"/>
          </w:tcPr>
          <w:p w14:paraId="7D70A66F" w14:textId="77777777" w:rsidR="00221B29" w:rsidRPr="00221B29" w:rsidRDefault="00221B29" w:rsidP="00221B29">
            <w:pPr>
              <w:rPr>
                <w:i/>
              </w:rPr>
            </w:pPr>
            <w:r w:rsidRPr="00221B29">
              <w:rPr>
                <w:i/>
              </w:rPr>
              <w:t xml:space="preserve">Categories of eligible costs that will be </w:t>
            </w:r>
            <w:r w:rsidRPr="00A838F4">
              <w:rPr>
                <w:b/>
                <w:i/>
                <w:color w:val="4472C4" w:themeColor="accent1"/>
              </w:rPr>
              <w:t>calculated</w:t>
            </w:r>
            <w:r w:rsidRPr="00A838F4">
              <w:rPr>
                <w:i/>
                <w:color w:val="4472C4" w:themeColor="accent1"/>
              </w:rPr>
              <w:t xml:space="preserve"> </w:t>
            </w:r>
            <w:r w:rsidRPr="00221B29">
              <w:rPr>
                <w:i/>
              </w:rPr>
              <w:t>with the flat rate (type 2)</w:t>
            </w:r>
          </w:p>
        </w:tc>
        <w:tc>
          <w:tcPr>
            <w:tcW w:w="1874" w:type="pct"/>
            <w:shd w:val="clear" w:color="auto" w:fill="auto"/>
          </w:tcPr>
          <w:p w14:paraId="65ADF7A5" w14:textId="77777777" w:rsidR="00221B29" w:rsidRPr="00221B29" w:rsidRDefault="00221B29" w:rsidP="00221B29">
            <w:r w:rsidRPr="00221B29">
              <w:t>Indirect costs (calculated) = 15 % of direct costs = 15 % x 90 000 = EUR 13 500</w:t>
            </w:r>
          </w:p>
        </w:tc>
      </w:tr>
      <w:tr w:rsidR="00221B29" w:rsidRPr="00221B29" w14:paraId="17C48A60" w14:textId="77777777">
        <w:tc>
          <w:tcPr>
            <w:tcW w:w="3126" w:type="pct"/>
            <w:shd w:val="clear" w:color="auto" w:fill="auto"/>
          </w:tcPr>
          <w:p w14:paraId="19DA1D3A" w14:textId="77777777" w:rsidR="00221B29" w:rsidRPr="00221B29" w:rsidRDefault="00221B29" w:rsidP="00221B29">
            <w:pPr>
              <w:rPr>
                <w:i/>
              </w:rPr>
            </w:pPr>
            <w:r w:rsidRPr="00221B29">
              <w:rPr>
                <w:i/>
              </w:rPr>
              <w:t>Categories of eligible costs to which the rate is not applied and that are not calculated with the flat rate (type 3)</w:t>
            </w:r>
          </w:p>
        </w:tc>
        <w:tc>
          <w:tcPr>
            <w:tcW w:w="1874" w:type="pct"/>
            <w:shd w:val="clear" w:color="auto" w:fill="auto"/>
          </w:tcPr>
          <w:p w14:paraId="5F9FFD48" w14:textId="77777777" w:rsidR="00221B29" w:rsidRPr="00221B29" w:rsidRDefault="00221B29" w:rsidP="00221B29">
            <w:r w:rsidRPr="00221B29">
              <w:t>Other direct costs (Room costs, travel costs, meals, info, publicity) = EUR 45 000</w:t>
            </w:r>
          </w:p>
        </w:tc>
      </w:tr>
    </w:tbl>
    <w:p w14:paraId="34E009EB" w14:textId="77777777" w:rsidR="00221B29" w:rsidRPr="00221B29" w:rsidRDefault="00221B29" w:rsidP="00221B29">
      <w:r w:rsidRPr="00221B29">
        <w:t>Total eligible costs = Direct staff costs + calculated indirect costs + other direct costs = 90 000 + 13 500 + 45 000 = EUR 148 500</w:t>
      </w:r>
    </w:p>
    <w:p w14:paraId="64349B5A" w14:textId="632EF0A3" w:rsidR="00221B29" w:rsidRPr="00221B29" w:rsidRDefault="00221B29" w:rsidP="00221B29">
      <w:r w:rsidRPr="00221B29">
        <w:t>The draft budget takes the following form:</w:t>
      </w:r>
    </w:p>
    <w:tbl>
      <w:tblPr>
        <w:tblW w:w="9087" w:type="dxa"/>
        <w:tblInd w:w="93" w:type="dxa"/>
        <w:tblLook w:val="04A0" w:firstRow="1" w:lastRow="0" w:firstColumn="1" w:lastColumn="0" w:noHBand="0" w:noVBand="1"/>
      </w:tblPr>
      <w:tblGrid>
        <w:gridCol w:w="2800"/>
        <w:gridCol w:w="960"/>
        <w:gridCol w:w="791"/>
        <w:gridCol w:w="3261"/>
        <w:gridCol w:w="1275"/>
      </w:tblGrid>
      <w:tr w:rsidR="00221B29" w:rsidRPr="00221B29" w14:paraId="2D8D531A" w14:textId="77777777">
        <w:trPr>
          <w:trHeight w:val="300"/>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8B7BE" w14:textId="77777777" w:rsidR="00221B29" w:rsidRPr="00221B29" w:rsidRDefault="00221B29" w:rsidP="00221B29">
            <w:r w:rsidRPr="00221B29">
              <w:t>Direct staff costs (type 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7EDCB05" w14:textId="77777777" w:rsidR="00221B29" w:rsidRPr="00221B29" w:rsidRDefault="00221B29" w:rsidP="00221B29">
            <w:r w:rsidRPr="00221B29">
              <w:t>90 000</w:t>
            </w:r>
          </w:p>
        </w:tc>
        <w:tc>
          <w:tcPr>
            <w:tcW w:w="791" w:type="dxa"/>
            <w:tcBorders>
              <w:top w:val="nil"/>
              <w:left w:val="nil"/>
              <w:bottom w:val="nil"/>
              <w:right w:val="nil"/>
            </w:tcBorders>
            <w:shd w:val="clear" w:color="auto" w:fill="auto"/>
            <w:noWrap/>
            <w:vAlign w:val="bottom"/>
            <w:hideMark/>
          </w:tcPr>
          <w:p w14:paraId="48922DDF" w14:textId="77777777" w:rsidR="00221B29" w:rsidRPr="00221B29" w:rsidRDefault="00221B29" w:rsidP="00221B29">
            <w:r w:rsidRPr="00221B29">
              <w:t>=&gt;</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6A08D" w14:textId="77777777" w:rsidR="00221B29" w:rsidRPr="00221B29" w:rsidRDefault="00221B29" w:rsidP="00221B29">
            <w:r w:rsidRPr="00221B29">
              <w:t>Indirect costs (type 2) = 15 % direct staff costs</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27A0136" w14:textId="77777777" w:rsidR="00221B29" w:rsidRPr="00221B29" w:rsidRDefault="00221B29" w:rsidP="00221B29">
            <w:r w:rsidRPr="00221B29">
              <w:t>13 500</w:t>
            </w:r>
          </w:p>
        </w:tc>
      </w:tr>
      <w:tr w:rsidR="00221B29" w:rsidRPr="00221B29" w14:paraId="18BB1F08" w14:textId="77777777">
        <w:trPr>
          <w:trHeight w:val="300"/>
        </w:trPr>
        <w:tc>
          <w:tcPr>
            <w:tcW w:w="2800" w:type="dxa"/>
            <w:tcBorders>
              <w:top w:val="nil"/>
              <w:left w:val="nil"/>
              <w:bottom w:val="nil"/>
              <w:right w:val="nil"/>
            </w:tcBorders>
            <w:shd w:val="clear" w:color="auto" w:fill="auto"/>
            <w:noWrap/>
            <w:vAlign w:val="bottom"/>
            <w:hideMark/>
          </w:tcPr>
          <w:p w14:paraId="21B9E829" w14:textId="77777777" w:rsidR="00221B29" w:rsidRPr="00221B29" w:rsidRDefault="00221B29" w:rsidP="00221B29"/>
        </w:tc>
        <w:tc>
          <w:tcPr>
            <w:tcW w:w="960" w:type="dxa"/>
            <w:tcBorders>
              <w:top w:val="nil"/>
              <w:left w:val="nil"/>
              <w:bottom w:val="nil"/>
              <w:right w:val="nil"/>
            </w:tcBorders>
            <w:shd w:val="clear" w:color="auto" w:fill="auto"/>
            <w:noWrap/>
            <w:vAlign w:val="bottom"/>
            <w:hideMark/>
          </w:tcPr>
          <w:p w14:paraId="740C2CF5" w14:textId="77777777" w:rsidR="00221B29" w:rsidRPr="00221B29" w:rsidRDefault="00221B29" w:rsidP="00221B29"/>
        </w:tc>
        <w:tc>
          <w:tcPr>
            <w:tcW w:w="791" w:type="dxa"/>
            <w:tcBorders>
              <w:top w:val="nil"/>
              <w:left w:val="nil"/>
              <w:bottom w:val="nil"/>
              <w:right w:val="nil"/>
            </w:tcBorders>
            <w:shd w:val="clear" w:color="auto" w:fill="auto"/>
            <w:noWrap/>
            <w:vAlign w:val="bottom"/>
            <w:hideMark/>
          </w:tcPr>
          <w:p w14:paraId="12259876" w14:textId="77777777" w:rsidR="00221B29" w:rsidRPr="00221B29" w:rsidRDefault="00221B29" w:rsidP="00221B29"/>
        </w:tc>
        <w:tc>
          <w:tcPr>
            <w:tcW w:w="3261" w:type="dxa"/>
            <w:tcBorders>
              <w:top w:val="nil"/>
              <w:left w:val="nil"/>
              <w:right w:val="nil"/>
            </w:tcBorders>
            <w:shd w:val="clear" w:color="auto" w:fill="auto"/>
            <w:noWrap/>
            <w:vAlign w:val="bottom"/>
            <w:hideMark/>
          </w:tcPr>
          <w:p w14:paraId="4756983F" w14:textId="77777777" w:rsidR="00221B29" w:rsidRPr="00221B29" w:rsidRDefault="00221B29" w:rsidP="00221B29">
            <w:r w:rsidRPr="00221B29">
              <w:rPr>
                <w:i/>
              </w:rPr>
              <w:t>(calculated)</w:t>
            </w:r>
          </w:p>
        </w:tc>
        <w:tc>
          <w:tcPr>
            <w:tcW w:w="1275" w:type="dxa"/>
            <w:tcBorders>
              <w:top w:val="nil"/>
              <w:left w:val="nil"/>
              <w:right w:val="nil"/>
            </w:tcBorders>
            <w:shd w:val="clear" w:color="auto" w:fill="auto"/>
            <w:noWrap/>
            <w:vAlign w:val="bottom"/>
            <w:hideMark/>
          </w:tcPr>
          <w:p w14:paraId="601B7743" w14:textId="77777777" w:rsidR="00221B29" w:rsidRPr="00221B29" w:rsidRDefault="00221B29" w:rsidP="00221B29"/>
        </w:tc>
      </w:tr>
      <w:tr w:rsidR="00221B29" w:rsidRPr="00221B29" w14:paraId="7BF514C6" w14:textId="77777777">
        <w:trPr>
          <w:trHeight w:val="315"/>
        </w:trPr>
        <w:tc>
          <w:tcPr>
            <w:tcW w:w="3760" w:type="dxa"/>
            <w:gridSpan w:val="2"/>
            <w:tcBorders>
              <w:top w:val="single" w:sz="4" w:space="0" w:color="auto"/>
              <w:left w:val="single" w:sz="4" w:space="0" w:color="auto"/>
              <w:bottom w:val="nil"/>
              <w:right w:val="single" w:sz="4" w:space="0" w:color="auto"/>
            </w:tcBorders>
            <w:shd w:val="clear" w:color="auto" w:fill="auto"/>
            <w:noWrap/>
            <w:vAlign w:val="bottom"/>
          </w:tcPr>
          <w:p w14:paraId="5DA239A4" w14:textId="77777777" w:rsidR="00221B29" w:rsidRPr="00221B29" w:rsidRDefault="00221B29" w:rsidP="00221B29">
            <w:r w:rsidRPr="00221B29">
              <w:t>Other direct costs (type 3):</w:t>
            </w:r>
          </w:p>
        </w:tc>
        <w:tc>
          <w:tcPr>
            <w:tcW w:w="791" w:type="dxa"/>
            <w:tcBorders>
              <w:top w:val="nil"/>
              <w:left w:val="nil"/>
              <w:bottom w:val="nil"/>
              <w:right w:val="nil"/>
            </w:tcBorders>
            <w:shd w:val="clear" w:color="auto" w:fill="auto"/>
            <w:noWrap/>
            <w:vAlign w:val="bottom"/>
          </w:tcPr>
          <w:p w14:paraId="338A2A36" w14:textId="77777777" w:rsidR="00221B29" w:rsidRPr="00221B29" w:rsidRDefault="00221B29" w:rsidP="00221B29"/>
        </w:tc>
        <w:tc>
          <w:tcPr>
            <w:tcW w:w="3261" w:type="dxa"/>
            <w:tcBorders>
              <w:top w:val="nil"/>
              <w:left w:val="nil"/>
              <w:right w:val="nil"/>
            </w:tcBorders>
            <w:shd w:val="clear" w:color="auto" w:fill="auto"/>
            <w:noWrap/>
            <w:vAlign w:val="bottom"/>
          </w:tcPr>
          <w:p w14:paraId="56822718" w14:textId="77777777" w:rsidR="00221B29" w:rsidRPr="00221B29" w:rsidRDefault="00221B29" w:rsidP="00221B29"/>
        </w:tc>
        <w:tc>
          <w:tcPr>
            <w:tcW w:w="1275" w:type="dxa"/>
            <w:tcBorders>
              <w:top w:val="nil"/>
              <w:left w:val="nil"/>
              <w:right w:val="nil"/>
            </w:tcBorders>
            <w:shd w:val="clear" w:color="auto" w:fill="auto"/>
            <w:noWrap/>
            <w:vAlign w:val="bottom"/>
          </w:tcPr>
          <w:p w14:paraId="5A229683" w14:textId="77777777" w:rsidR="00221B29" w:rsidRPr="00221B29" w:rsidRDefault="00221B29" w:rsidP="00221B29"/>
        </w:tc>
      </w:tr>
      <w:tr w:rsidR="00221B29" w:rsidRPr="00221B29" w14:paraId="6F5267AA" w14:textId="77777777">
        <w:trPr>
          <w:trHeight w:val="315"/>
        </w:trPr>
        <w:tc>
          <w:tcPr>
            <w:tcW w:w="2800" w:type="dxa"/>
            <w:tcBorders>
              <w:top w:val="single" w:sz="4" w:space="0" w:color="auto"/>
              <w:left w:val="single" w:sz="4" w:space="0" w:color="auto"/>
              <w:bottom w:val="nil"/>
              <w:right w:val="single" w:sz="4" w:space="0" w:color="auto"/>
            </w:tcBorders>
            <w:shd w:val="clear" w:color="auto" w:fill="auto"/>
            <w:noWrap/>
            <w:vAlign w:val="bottom"/>
            <w:hideMark/>
          </w:tcPr>
          <w:p w14:paraId="042AF36F" w14:textId="77777777" w:rsidR="00221B29" w:rsidRPr="00221B29" w:rsidRDefault="00221B29" w:rsidP="00221B29">
            <w:r w:rsidRPr="00221B29">
              <w:t>Room costs</w:t>
            </w:r>
          </w:p>
        </w:tc>
        <w:tc>
          <w:tcPr>
            <w:tcW w:w="960" w:type="dxa"/>
            <w:tcBorders>
              <w:top w:val="single" w:sz="4" w:space="0" w:color="auto"/>
              <w:left w:val="nil"/>
              <w:bottom w:val="nil"/>
              <w:right w:val="single" w:sz="4" w:space="0" w:color="auto"/>
            </w:tcBorders>
            <w:shd w:val="clear" w:color="auto" w:fill="auto"/>
            <w:noWrap/>
            <w:vAlign w:val="bottom"/>
            <w:hideMark/>
          </w:tcPr>
          <w:p w14:paraId="7EC99468" w14:textId="77777777" w:rsidR="00221B29" w:rsidRPr="00221B29" w:rsidRDefault="00221B29" w:rsidP="00221B29">
            <w:r w:rsidRPr="00221B29">
              <w:t>12 000</w:t>
            </w:r>
          </w:p>
        </w:tc>
        <w:tc>
          <w:tcPr>
            <w:tcW w:w="791" w:type="dxa"/>
            <w:tcBorders>
              <w:top w:val="nil"/>
              <w:left w:val="nil"/>
              <w:bottom w:val="nil"/>
              <w:right w:val="nil"/>
            </w:tcBorders>
            <w:shd w:val="clear" w:color="auto" w:fill="auto"/>
            <w:noWrap/>
            <w:vAlign w:val="bottom"/>
            <w:hideMark/>
          </w:tcPr>
          <w:p w14:paraId="164F44A2" w14:textId="77777777" w:rsidR="00221B29" w:rsidRPr="00221B29" w:rsidRDefault="00221B29" w:rsidP="00221B29"/>
        </w:tc>
        <w:tc>
          <w:tcPr>
            <w:tcW w:w="3261" w:type="dxa"/>
            <w:tcBorders>
              <w:top w:val="nil"/>
              <w:left w:val="nil"/>
              <w:bottom w:val="single" w:sz="8" w:space="0" w:color="auto"/>
              <w:right w:val="nil"/>
            </w:tcBorders>
            <w:shd w:val="clear" w:color="auto" w:fill="auto"/>
            <w:noWrap/>
            <w:vAlign w:val="bottom"/>
            <w:hideMark/>
          </w:tcPr>
          <w:p w14:paraId="7A08AF39" w14:textId="77777777" w:rsidR="00221B29" w:rsidRPr="00221B29" w:rsidRDefault="00221B29" w:rsidP="00221B29"/>
        </w:tc>
        <w:tc>
          <w:tcPr>
            <w:tcW w:w="1275" w:type="dxa"/>
            <w:tcBorders>
              <w:left w:val="nil"/>
              <w:bottom w:val="single" w:sz="8" w:space="0" w:color="auto"/>
              <w:right w:val="nil"/>
            </w:tcBorders>
            <w:shd w:val="clear" w:color="auto" w:fill="auto"/>
            <w:noWrap/>
            <w:vAlign w:val="bottom"/>
            <w:hideMark/>
          </w:tcPr>
          <w:p w14:paraId="3A371CA3" w14:textId="77777777" w:rsidR="00221B29" w:rsidRPr="00221B29" w:rsidRDefault="00221B29" w:rsidP="00221B29"/>
        </w:tc>
      </w:tr>
      <w:tr w:rsidR="00221B29" w:rsidRPr="00221B29" w14:paraId="6F941BBE" w14:textId="77777777">
        <w:trPr>
          <w:trHeight w:val="315"/>
        </w:trPr>
        <w:tc>
          <w:tcPr>
            <w:tcW w:w="2800" w:type="dxa"/>
            <w:tcBorders>
              <w:top w:val="nil"/>
              <w:left w:val="single" w:sz="4" w:space="0" w:color="auto"/>
              <w:bottom w:val="nil"/>
              <w:right w:val="single" w:sz="4" w:space="0" w:color="auto"/>
            </w:tcBorders>
            <w:shd w:val="clear" w:color="auto" w:fill="auto"/>
            <w:noWrap/>
            <w:vAlign w:val="bottom"/>
            <w:hideMark/>
          </w:tcPr>
          <w:p w14:paraId="475FC56A" w14:textId="77777777" w:rsidR="00221B29" w:rsidRPr="00221B29" w:rsidRDefault="00221B29" w:rsidP="00221B29">
            <w:r w:rsidRPr="00221B29">
              <w:t>Travel costs</w:t>
            </w:r>
          </w:p>
        </w:tc>
        <w:tc>
          <w:tcPr>
            <w:tcW w:w="960" w:type="dxa"/>
            <w:tcBorders>
              <w:top w:val="nil"/>
              <w:left w:val="nil"/>
              <w:bottom w:val="nil"/>
              <w:right w:val="single" w:sz="4" w:space="0" w:color="auto"/>
            </w:tcBorders>
            <w:shd w:val="clear" w:color="auto" w:fill="auto"/>
            <w:noWrap/>
            <w:vAlign w:val="bottom"/>
            <w:hideMark/>
          </w:tcPr>
          <w:p w14:paraId="402559A3" w14:textId="77777777" w:rsidR="00221B29" w:rsidRPr="00221B29" w:rsidRDefault="00221B29" w:rsidP="00221B29">
            <w:r w:rsidRPr="00221B29">
              <w:t>15 000</w:t>
            </w:r>
          </w:p>
        </w:tc>
        <w:tc>
          <w:tcPr>
            <w:tcW w:w="791" w:type="dxa"/>
            <w:tcBorders>
              <w:top w:val="nil"/>
              <w:left w:val="nil"/>
              <w:bottom w:val="nil"/>
              <w:right w:val="nil"/>
            </w:tcBorders>
            <w:shd w:val="clear" w:color="auto" w:fill="auto"/>
            <w:noWrap/>
            <w:vAlign w:val="bottom"/>
            <w:hideMark/>
          </w:tcPr>
          <w:p w14:paraId="73EC8BCB" w14:textId="77777777" w:rsidR="00221B29" w:rsidRPr="00221B29" w:rsidRDefault="00221B29" w:rsidP="00221B29"/>
        </w:tc>
        <w:tc>
          <w:tcPr>
            <w:tcW w:w="3261" w:type="dxa"/>
            <w:tcBorders>
              <w:top w:val="single" w:sz="8" w:space="0" w:color="auto"/>
              <w:left w:val="single" w:sz="8" w:space="0" w:color="auto"/>
              <w:bottom w:val="single" w:sz="8" w:space="0" w:color="auto"/>
              <w:right w:val="single" w:sz="4" w:space="0" w:color="auto"/>
            </w:tcBorders>
            <w:shd w:val="clear" w:color="auto" w:fill="A6A6A6"/>
            <w:noWrap/>
            <w:vAlign w:val="bottom"/>
            <w:hideMark/>
          </w:tcPr>
          <w:p w14:paraId="54BBD2D2" w14:textId="77777777" w:rsidR="00221B29" w:rsidRPr="00221B29" w:rsidRDefault="00221B29" w:rsidP="00221B29">
            <w:r w:rsidRPr="00221B29">
              <w:t xml:space="preserve">Total eligible costs </w:t>
            </w:r>
          </w:p>
        </w:tc>
        <w:tc>
          <w:tcPr>
            <w:tcW w:w="1275" w:type="dxa"/>
            <w:tcBorders>
              <w:top w:val="single" w:sz="8" w:space="0" w:color="auto"/>
              <w:left w:val="nil"/>
              <w:bottom w:val="single" w:sz="8" w:space="0" w:color="auto"/>
              <w:right w:val="single" w:sz="8" w:space="0" w:color="auto"/>
            </w:tcBorders>
            <w:shd w:val="clear" w:color="auto" w:fill="A6A6A6"/>
            <w:noWrap/>
            <w:vAlign w:val="bottom"/>
            <w:hideMark/>
          </w:tcPr>
          <w:p w14:paraId="4493A7AB" w14:textId="77777777" w:rsidR="00221B29" w:rsidRPr="00221B29" w:rsidRDefault="00221B29" w:rsidP="00221B29">
            <w:r w:rsidRPr="00221B29">
              <w:t>148 500</w:t>
            </w:r>
          </w:p>
        </w:tc>
      </w:tr>
      <w:tr w:rsidR="00221B29" w:rsidRPr="00221B29" w14:paraId="0EC908A5" w14:textId="77777777">
        <w:trPr>
          <w:trHeight w:val="300"/>
        </w:trPr>
        <w:tc>
          <w:tcPr>
            <w:tcW w:w="2800" w:type="dxa"/>
            <w:tcBorders>
              <w:top w:val="nil"/>
              <w:left w:val="single" w:sz="4" w:space="0" w:color="auto"/>
              <w:bottom w:val="nil"/>
              <w:right w:val="single" w:sz="4" w:space="0" w:color="auto"/>
            </w:tcBorders>
            <w:shd w:val="clear" w:color="auto" w:fill="auto"/>
            <w:noWrap/>
            <w:vAlign w:val="bottom"/>
            <w:hideMark/>
          </w:tcPr>
          <w:p w14:paraId="1FF932F3" w14:textId="77777777" w:rsidR="00221B29" w:rsidRPr="00221B29" w:rsidRDefault="00221B29" w:rsidP="00221B29">
            <w:r w:rsidRPr="00221B29">
              <w:t>Meals</w:t>
            </w:r>
          </w:p>
        </w:tc>
        <w:tc>
          <w:tcPr>
            <w:tcW w:w="960" w:type="dxa"/>
            <w:tcBorders>
              <w:top w:val="nil"/>
              <w:left w:val="nil"/>
              <w:bottom w:val="nil"/>
              <w:right w:val="single" w:sz="4" w:space="0" w:color="auto"/>
            </w:tcBorders>
            <w:shd w:val="clear" w:color="auto" w:fill="auto"/>
            <w:noWrap/>
            <w:vAlign w:val="bottom"/>
            <w:hideMark/>
          </w:tcPr>
          <w:p w14:paraId="36244F8C" w14:textId="77777777" w:rsidR="00221B29" w:rsidRPr="00221B29" w:rsidRDefault="00221B29" w:rsidP="00221B29">
            <w:r w:rsidRPr="00221B29">
              <w:t>3 000</w:t>
            </w:r>
          </w:p>
        </w:tc>
        <w:tc>
          <w:tcPr>
            <w:tcW w:w="791" w:type="dxa"/>
            <w:tcBorders>
              <w:top w:val="nil"/>
              <w:left w:val="nil"/>
              <w:bottom w:val="nil"/>
              <w:right w:val="nil"/>
            </w:tcBorders>
            <w:shd w:val="clear" w:color="auto" w:fill="auto"/>
            <w:noWrap/>
            <w:vAlign w:val="bottom"/>
            <w:hideMark/>
          </w:tcPr>
          <w:p w14:paraId="2A0C7B56" w14:textId="77777777" w:rsidR="00221B29" w:rsidRPr="00221B29" w:rsidRDefault="00221B29" w:rsidP="00221B29"/>
        </w:tc>
        <w:tc>
          <w:tcPr>
            <w:tcW w:w="3261" w:type="dxa"/>
            <w:tcBorders>
              <w:top w:val="nil"/>
              <w:left w:val="nil"/>
              <w:bottom w:val="nil"/>
              <w:right w:val="nil"/>
            </w:tcBorders>
            <w:shd w:val="clear" w:color="auto" w:fill="auto"/>
            <w:noWrap/>
            <w:vAlign w:val="bottom"/>
            <w:hideMark/>
          </w:tcPr>
          <w:p w14:paraId="3BE4650A" w14:textId="77777777" w:rsidR="00221B29" w:rsidRPr="00221B29" w:rsidRDefault="00221B29" w:rsidP="00221B29"/>
        </w:tc>
        <w:tc>
          <w:tcPr>
            <w:tcW w:w="1275" w:type="dxa"/>
            <w:tcBorders>
              <w:top w:val="nil"/>
              <w:left w:val="nil"/>
              <w:bottom w:val="nil"/>
              <w:right w:val="nil"/>
            </w:tcBorders>
            <w:shd w:val="clear" w:color="auto" w:fill="auto"/>
            <w:noWrap/>
            <w:vAlign w:val="bottom"/>
            <w:hideMark/>
          </w:tcPr>
          <w:p w14:paraId="4404FF75" w14:textId="77777777" w:rsidR="00221B29" w:rsidRPr="00221B29" w:rsidRDefault="00221B29" w:rsidP="00221B29"/>
        </w:tc>
      </w:tr>
      <w:tr w:rsidR="00221B29" w:rsidRPr="00221B29" w14:paraId="001514A4" w14:textId="77777777">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515D4CF3" w14:textId="77777777" w:rsidR="00221B29" w:rsidRPr="00221B29" w:rsidRDefault="00221B29" w:rsidP="00221B29">
            <w:r w:rsidRPr="00221B29">
              <w:t>Information / Publicity</w:t>
            </w:r>
          </w:p>
        </w:tc>
        <w:tc>
          <w:tcPr>
            <w:tcW w:w="960" w:type="dxa"/>
            <w:tcBorders>
              <w:top w:val="nil"/>
              <w:left w:val="nil"/>
              <w:bottom w:val="single" w:sz="4" w:space="0" w:color="auto"/>
              <w:right w:val="single" w:sz="4" w:space="0" w:color="auto"/>
            </w:tcBorders>
            <w:shd w:val="clear" w:color="auto" w:fill="auto"/>
            <w:noWrap/>
            <w:vAlign w:val="bottom"/>
            <w:hideMark/>
          </w:tcPr>
          <w:p w14:paraId="035DEA29" w14:textId="77777777" w:rsidR="00221B29" w:rsidRPr="00221B29" w:rsidRDefault="00221B29" w:rsidP="00221B29">
            <w:r w:rsidRPr="00221B29">
              <w:t>15 000</w:t>
            </w:r>
          </w:p>
        </w:tc>
        <w:tc>
          <w:tcPr>
            <w:tcW w:w="791" w:type="dxa"/>
            <w:tcBorders>
              <w:top w:val="nil"/>
              <w:left w:val="nil"/>
              <w:bottom w:val="nil"/>
              <w:right w:val="nil"/>
            </w:tcBorders>
            <w:shd w:val="clear" w:color="auto" w:fill="auto"/>
            <w:noWrap/>
            <w:vAlign w:val="bottom"/>
            <w:hideMark/>
          </w:tcPr>
          <w:p w14:paraId="44ECDF3E" w14:textId="77777777" w:rsidR="00221B29" w:rsidRPr="00221B29" w:rsidRDefault="00221B29" w:rsidP="00221B29"/>
        </w:tc>
        <w:tc>
          <w:tcPr>
            <w:tcW w:w="3261" w:type="dxa"/>
            <w:tcBorders>
              <w:top w:val="nil"/>
              <w:left w:val="nil"/>
              <w:bottom w:val="nil"/>
              <w:right w:val="nil"/>
            </w:tcBorders>
            <w:shd w:val="clear" w:color="auto" w:fill="auto"/>
            <w:noWrap/>
            <w:vAlign w:val="bottom"/>
            <w:hideMark/>
          </w:tcPr>
          <w:p w14:paraId="4E3D17C7" w14:textId="77777777" w:rsidR="00221B29" w:rsidRPr="00221B29" w:rsidRDefault="00221B29" w:rsidP="00221B29"/>
        </w:tc>
        <w:tc>
          <w:tcPr>
            <w:tcW w:w="1275" w:type="dxa"/>
            <w:tcBorders>
              <w:top w:val="nil"/>
              <w:left w:val="nil"/>
              <w:bottom w:val="nil"/>
              <w:right w:val="nil"/>
            </w:tcBorders>
            <w:shd w:val="clear" w:color="auto" w:fill="auto"/>
            <w:noWrap/>
            <w:vAlign w:val="bottom"/>
            <w:hideMark/>
          </w:tcPr>
          <w:p w14:paraId="18C6075C" w14:textId="77777777" w:rsidR="00221B29" w:rsidRPr="00221B29" w:rsidRDefault="00221B29" w:rsidP="00221B29"/>
        </w:tc>
      </w:tr>
      <w:tr w:rsidR="00221B29" w:rsidRPr="00221B29" w14:paraId="3AD24CDE" w14:textId="77777777">
        <w:trPr>
          <w:trHeight w:val="300"/>
        </w:trPr>
        <w:tc>
          <w:tcPr>
            <w:tcW w:w="2800" w:type="dxa"/>
            <w:tcBorders>
              <w:top w:val="nil"/>
              <w:left w:val="nil"/>
              <w:bottom w:val="nil"/>
              <w:right w:val="nil"/>
            </w:tcBorders>
            <w:shd w:val="clear" w:color="auto" w:fill="auto"/>
            <w:noWrap/>
            <w:vAlign w:val="bottom"/>
            <w:hideMark/>
          </w:tcPr>
          <w:p w14:paraId="43C57E3E" w14:textId="77777777" w:rsidR="00221B29" w:rsidRPr="00221B29" w:rsidRDefault="00221B29" w:rsidP="00221B29">
            <w:pPr>
              <w:rPr>
                <w:i/>
              </w:rPr>
            </w:pPr>
            <w:r w:rsidRPr="00221B29">
              <w:rPr>
                <w:i/>
              </w:rPr>
              <w:t>(Generally based on real costs)</w:t>
            </w:r>
          </w:p>
        </w:tc>
        <w:tc>
          <w:tcPr>
            <w:tcW w:w="960" w:type="dxa"/>
            <w:tcBorders>
              <w:top w:val="nil"/>
              <w:left w:val="nil"/>
              <w:bottom w:val="nil"/>
              <w:right w:val="nil"/>
            </w:tcBorders>
            <w:shd w:val="clear" w:color="auto" w:fill="auto"/>
            <w:noWrap/>
            <w:vAlign w:val="bottom"/>
            <w:hideMark/>
          </w:tcPr>
          <w:p w14:paraId="0A88DFE1" w14:textId="77777777" w:rsidR="00221B29" w:rsidRPr="00221B29" w:rsidRDefault="00221B29" w:rsidP="00221B29"/>
        </w:tc>
        <w:tc>
          <w:tcPr>
            <w:tcW w:w="791" w:type="dxa"/>
            <w:tcBorders>
              <w:top w:val="nil"/>
              <w:left w:val="nil"/>
              <w:bottom w:val="nil"/>
              <w:right w:val="nil"/>
            </w:tcBorders>
            <w:shd w:val="clear" w:color="auto" w:fill="auto"/>
            <w:noWrap/>
            <w:vAlign w:val="bottom"/>
            <w:hideMark/>
          </w:tcPr>
          <w:p w14:paraId="40016333" w14:textId="77777777" w:rsidR="00221B29" w:rsidRPr="00221B29" w:rsidRDefault="00221B29" w:rsidP="00221B29"/>
        </w:tc>
        <w:tc>
          <w:tcPr>
            <w:tcW w:w="3261" w:type="dxa"/>
            <w:tcBorders>
              <w:top w:val="nil"/>
              <w:left w:val="nil"/>
              <w:bottom w:val="nil"/>
              <w:right w:val="nil"/>
            </w:tcBorders>
            <w:shd w:val="clear" w:color="auto" w:fill="auto"/>
            <w:noWrap/>
            <w:vAlign w:val="bottom"/>
            <w:hideMark/>
          </w:tcPr>
          <w:p w14:paraId="104778AB" w14:textId="77777777" w:rsidR="00221B29" w:rsidRPr="00221B29" w:rsidRDefault="00221B29" w:rsidP="00221B29"/>
        </w:tc>
        <w:tc>
          <w:tcPr>
            <w:tcW w:w="1275" w:type="dxa"/>
            <w:tcBorders>
              <w:top w:val="nil"/>
              <w:left w:val="nil"/>
              <w:bottom w:val="nil"/>
              <w:right w:val="nil"/>
            </w:tcBorders>
            <w:shd w:val="clear" w:color="auto" w:fill="auto"/>
            <w:noWrap/>
            <w:vAlign w:val="bottom"/>
            <w:hideMark/>
          </w:tcPr>
          <w:p w14:paraId="20ECE322" w14:textId="77777777" w:rsidR="00221B29" w:rsidRPr="00221B29" w:rsidRDefault="00221B29" w:rsidP="00221B29"/>
        </w:tc>
      </w:tr>
    </w:tbl>
    <w:p w14:paraId="30DBBF5C" w14:textId="77777777" w:rsidR="00221B29" w:rsidRDefault="00221B29" w:rsidP="00221B29">
      <w:pPr>
        <w:rPr>
          <w:b/>
          <w:bCs/>
          <w:color w:val="4472C4" w:themeColor="accent1"/>
        </w:rPr>
      </w:pPr>
    </w:p>
    <w:p w14:paraId="05D4DC72" w14:textId="77777777" w:rsidR="00B86A5E" w:rsidRPr="00B86A5E" w:rsidRDefault="00B86A5E" w:rsidP="00221B29">
      <w:pPr>
        <w:rPr>
          <w:b/>
          <w:bCs/>
          <w:color w:val="4472C4" w:themeColor="accent1"/>
        </w:rPr>
      </w:pPr>
    </w:p>
    <w:p w14:paraId="7948F6AC" w14:textId="77777777" w:rsidR="00221B29" w:rsidRPr="00B86A5E" w:rsidRDefault="00221B29" w:rsidP="00221B29">
      <w:pPr>
        <w:rPr>
          <w:b/>
          <w:bCs/>
          <w:color w:val="4472C4" w:themeColor="accent1"/>
        </w:rPr>
      </w:pPr>
      <w:r w:rsidRPr="00B86A5E">
        <w:rPr>
          <w:b/>
          <w:bCs/>
          <w:color w:val="4472C4" w:themeColor="accent1"/>
        </w:rPr>
        <w:t>Audit trail: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70"/>
      </w:tblGrid>
      <w:tr w:rsidR="00221B29" w:rsidRPr="00221B29" w14:paraId="2CE2A2CA" w14:textId="77777777">
        <w:tc>
          <w:tcPr>
            <w:tcW w:w="1634" w:type="pct"/>
            <w:shd w:val="clear" w:color="auto" w:fill="auto"/>
          </w:tcPr>
          <w:p w14:paraId="7F2C24E8" w14:textId="77777777" w:rsidR="00221B29" w:rsidRPr="00221B29" w:rsidRDefault="00221B29" w:rsidP="00221B29">
            <w:pPr>
              <w:rPr>
                <w:i/>
              </w:rPr>
            </w:pPr>
            <w:r w:rsidRPr="00221B29">
              <w:rPr>
                <w:i/>
              </w:rPr>
              <w:lastRenderedPageBreak/>
              <w:t>Categories of eligible costs to which the flat rate is to be applied to calculate the eligible amounts</w:t>
            </w:r>
          </w:p>
        </w:tc>
        <w:tc>
          <w:tcPr>
            <w:tcW w:w="3366" w:type="pct"/>
            <w:shd w:val="clear" w:color="auto" w:fill="auto"/>
          </w:tcPr>
          <w:p w14:paraId="5B90E55F" w14:textId="77777777" w:rsidR="00221B29" w:rsidRPr="00221B29" w:rsidRDefault="00221B29" w:rsidP="00221B29">
            <w:r w:rsidRPr="00221B29">
              <w:t xml:space="preserve">Direct staff costs = </w:t>
            </w:r>
          </w:p>
          <w:p w14:paraId="60BC488C" w14:textId="77777777" w:rsidR="00221B29" w:rsidRPr="00221B29" w:rsidRDefault="00221B29" w:rsidP="00221B29">
            <w:pPr>
              <w:numPr>
                <w:ilvl w:val="0"/>
                <w:numId w:val="82"/>
              </w:numPr>
            </w:pPr>
            <w:r w:rsidRPr="00221B29">
              <w:t xml:space="preserve">clear definition of what direct staff costs </w:t>
            </w:r>
            <w:proofErr w:type="gramStart"/>
            <w:r w:rsidRPr="00221B29">
              <w:t>are;</w:t>
            </w:r>
            <w:proofErr w:type="gramEnd"/>
          </w:p>
          <w:p w14:paraId="3238174D" w14:textId="77777777" w:rsidR="00221B29" w:rsidRPr="00221B29" w:rsidRDefault="00221B29" w:rsidP="00221B29">
            <w:pPr>
              <w:numPr>
                <w:ilvl w:val="0"/>
                <w:numId w:val="82"/>
              </w:numPr>
            </w:pPr>
            <w:r w:rsidRPr="00221B29">
              <w:t>proof of salary costs (pay slips, timesheets if relevant, collective agreements to justify benefits in kind if applicable, detailed invoice of external provider)</w:t>
            </w:r>
          </w:p>
        </w:tc>
      </w:tr>
      <w:tr w:rsidR="00221B29" w:rsidRPr="00221B29" w14:paraId="0FA049D5" w14:textId="77777777">
        <w:tc>
          <w:tcPr>
            <w:tcW w:w="1634" w:type="pct"/>
            <w:shd w:val="clear" w:color="auto" w:fill="auto"/>
          </w:tcPr>
          <w:p w14:paraId="0D8BF39B" w14:textId="77777777" w:rsidR="00221B29" w:rsidRPr="00221B29" w:rsidRDefault="00221B29" w:rsidP="00221B29">
            <w:pPr>
              <w:rPr>
                <w:i/>
              </w:rPr>
            </w:pPr>
            <w:r w:rsidRPr="00221B29">
              <w:rPr>
                <w:i/>
              </w:rPr>
              <w:t>The flat rate</w:t>
            </w:r>
          </w:p>
        </w:tc>
        <w:tc>
          <w:tcPr>
            <w:tcW w:w="3366" w:type="pct"/>
            <w:shd w:val="clear" w:color="auto" w:fill="auto"/>
          </w:tcPr>
          <w:p w14:paraId="4D0D3B14" w14:textId="6AD8F8FF" w:rsidR="00221B29" w:rsidRPr="00221B29" w:rsidRDefault="00221B29" w:rsidP="00221B29">
            <w:r w:rsidRPr="00221B29">
              <w:t>Reference to Article 54</w:t>
            </w:r>
            <w:r w:rsidR="0008397C">
              <w:t>(b)</w:t>
            </w:r>
            <w:r w:rsidRPr="00221B29">
              <w:t xml:space="preserve"> CPR is needed in the document setting out the conditions for support. </w:t>
            </w:r>
          </w:p>
        </w:tc>
      </w:tr>
      <w:tr w:rsidR="00221B29" w:rsidRPr="00221B29" w14:paraId="5ABFF0CA" w14:textId="77777777">
        <w:tc>
          <w:tcPr>
            <w:tcW w:w="1634" w:type="pct"/>
            <w:shd w:val="clear" w:color="auto" w:fill="auto"/>
          </w:tcPr>
          <w:p w14:paraId="133D2282" w14:textId="77777777" w:rsidR="00221B29" w:rsidRPr="00221B29" w:rsidRDefault="00221B29" w:rsidP="00221B29">
            <w:pPr>
              <w:rPr>
                <w:i/>
              </w:rPr>
            </w:pPr>
            <w:r w:rsidRPr="00221B29">
              <w:rPr>
                <w:i/>
              </w:rPr>
              <w:t xml:space="preserve">Categories of eligible costs that will be </w:t>
            </w:r>
            <w:r w:rsidRPr="00BE7329">
              <w:rPr>
                <w:b/>
                <w:i/>
                <w:color w:val="4472C4" w:themeColor="accent1"/>
              </w:rPr>
              <w:t>calculated</w:t>
            </w:r>
            <w:r w:rsidRPr="00BE7329">
              <w:rPr>
                <w:i/>
                <w:color w:val="4472C4" w:themeColor="accent1"/>
              </w:rPr>
              <w:t xml:space="preserve"> </w:t>
            </w:r>
            <w:r w:rsidRPr="00221B29">
              <w:rPr>
                <w:i/>
              </w:rPr>
              <w:t>with the flat rate</w:t>
            </w:r>
          </w:p>
        </w:tc>
        <w:tc>
          <w:tcPr>
            <w:tcW w:w="3366" w:type="pct"/>
            <w:shd w:val="clear" w:color="auto" w:fill="auto"/>
          </w:tcPr>
          <w:p w14:paraId="2B619C8F" w14:textId="77777777" w:rsidR="00221B29" w:rsidRPr="00221B29" w:rsidRDefault="00221B29" w:rsidP="00221B29">
            <w:r w:rsidRPr="00221B29">
              <w:t>No justification needed.</w:t>
            </w:r>
          </w:p>
        </w:tc>
      </w:tr>
      <w:tr w:rsidR="00221B29" w:rsidRPr="00221B29" w14:paraId="75F4466F" w14:textId="77777777">
        <w:tc>
          <w:tcPr>
            <w:tcW w:w="1634" w:type="pct"/>
            <w:shd w:val="clear" w:color="auto" w:fill="auto"/>
          </w:tcPr>
          <w:p w14:paraId="1085633B" w14:textId="77777777" w:rsidR="00221B29" w:rsidRPr="00221B29" w:rsidRDefault="00221B29" w:rsidP="00221B29">
            <w:pPr>
              <w:rPr>
                <w:i/>
              </w:rPr>
            </w:pPr>
            <w:r w:rsidRPr="00221B29">
              <w:rPr>
                <w:i/>
              </w:rPr>
              <w:t>Categories of eligible costs to which the rate is not applied and that are not calculated with the flat rate</w:t>
            </w:r>
          </w:p>
        </w:tc>
        <w:tc>
          <w:tcPr>
            <w:tcW w:w="3366" w:type="pct"/>
            <w:shd w:val="clear" w:color="auto" w:fill="auto"/>
          </w:tcPr>
          <w:p w14:paraId="683C8CD9" w14:textId="77777777" w:rsidR="00221B29" w:rsidRPr="00221B29" w:rsidRDefault="00221B29" w:rsidP="00221B29">
            <w:r w:rsidRPr="00221B29">
              <w:t xml:space="preserve">Other direct costs such as room costs, travel costs, meals, </w:t>
            </w:r>
            <w:proofErr w:type="gramStart"/>
            <w:r w:rsidRPr="00221B29">
              <w:t>information</w:t>
            </w:r>
            <w:proofErr w:type="gramEnd"/>
            <w:r w:rsidRPr="00221B29">
              <w:t xml:space="preserve"> and publicity should be justified with relevant invoices and proof of service delivery if required. </w:t>
            </w:r>
          </w:p>
        </w:tc>
      </w:tr>
    </w:tbl>
    <w:p w14:paraId="373EF5DA" w14:textId="3A7B97B3" w:rsidR="00221B29" w:rsidRPr="00BE7329" w:rsidRDefault="00221B29" w:rsidP="00221B29">
      <w:pPr>
        <w:rPr>
          <w:color w:val="4472C4" w:themeColor="accent1"/>
        </w:rPr>
      </w:pPr>
      <w:r w:rsidRPr="00BE7329">
        <w:rPr>
          <w:b/>
          <w:bCs/>
          <w:color w:val="4472C4" w:themeColor="accent1"/>
        </w:rPr>
        <w:t>Option 4: flat rate financing Article 56(1) CPR</w:t>
      </w:r>
    </w:p>
    <w:p w14:paraId="056A8AD5" w14:textId="77777777" w:rsidR="00221B29" w:rsidRPr="00221B29" w:rsidRDefault="07EDC88F" w:rsidP="00221B29">
      <w:r w:rsidRPr="00221B29">
        <w:t xml:space="preserve">The Member State may decide to opt for the flat rate system of Article 56(1) CPR: a flat rate of </w:t>
      </w:r>
      <w:r w:rsidRPr="00BE7329">
        <w:rPr>
          <w:b/>
          <w:bCs/>
          <w:color w:val="4472C4" w:themeColor="accent1"/>
        </w:rPr>
        <w:t>up to 40 %</w:t>
      </w:r>
      <w:r w:rsidRPr="00BE7329">
        <w:rPr>
          <w:color w:val="4472C4" w:themeColor="accent1"/>
        </w:rPr>
        <w:t xml:space="preserve"> </w:t>
      </w:r>
      <w:r w:rsidRPr="00221B29">
        <w:t xml:space="preserve">is </w:t>
      </w:r>
      <w:r w:rsidRPr="00BE7329">
        <w:t xml:space="preserve">applied </w:t>
      </w:r>
      <w:r w:rsidRPr="00BE7329">
        <w:rPr>
          <w:b/>
          <w:bCs/>
          <w:color w:val="4472C4" w:themeColor="accent1"/>
        </w:rPr>
        <w:t>only to the eligible direct staff costs to calculate all the other eligible costs of the operation</w:t>
      </w:r>
      <w:r w:rsidR="00221B29" w:rsidRPr="00BE7329">
        <w:rPr>
          <w:color w:val="4472C4" w:themeColor="accent1"/>
          <w:vertAlign w:val="superscript"/>
        </w:rPr>
        <w:footnoteReference w:id="32"/>
      </w:r>
      <w:r w:rsidRPr="00BE7329">
        <w:rPr>
          <w:b/>
          <w:bCs/>
          <w:color w:val="4472C4" w:themeColor="accent1"/>
        </w:rPr>
        <w:t>.</w:t>
      </w:r>
      <w:r w:rsidRPr="00BE7329">
        <w:rPr>
          <w:color w:val="4472C4" w:themeColor="accent1"/>
        </w:rPr>
        <w:t xml:space="preserve"> </w:t>
      </w:r>
      <w:r w:rsidRPr="00221B29">
        <w:t xml:space="preserve">There is </w:t>
      </w:r>
      <w:r w:rsidRPr="00BE7329">
        <w:rPr>
          <w:b/>
          <w:bCs/>
          <w:color w:val="4472C4" w:themeColor="accent1"/>
        </w:rPr>
        <w:t>no need to justify the rate</w:t>
      </w:r>
      <w:r w:rsidRPr="00BE7329">
        <w:rPr>
          <w:color w:val="4472C4" w:themeColor="accent1"/>
        </w:rPr>
        <w:t xml:space="preserve"> </w:t>
      </w:r>
      <w:r w:rsidRPr="00221B29">
        <w:t>itself given that it is specified by the Regulation.</w:t>
      </w:r>
    </w:p>
    <w:p w14:paraId="635CD0AA" w14:textId="77777777" w:rsidR="00221B29" w:rsidRPr="00221B29" w:rsidRDefault="00221B29" w:rsidP="00221B2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6"/>
        <w:gridCol w:w="3240"/>
      </w:tblGrid>
      <w:tr w:rsidR="00221B29" w:rsidRPr="00221B29" w14:paraId="2E0F32AA" w14:textId="77777777" w:rsidTr="7A56C7E6">
        <w:tc>
          <w:tcPr>
            <w:tcW w:w="3203" w:type="pct"/>
            <w:shd w:val="clear" w:color="auto" w:fill="auto"/>
          </w:tcPr>
          <w:p w14:paraId="7ABDE7F0" w14:textId="77777777" w:rsidR="00221B29" w:rsidRPr="00221B29" w:rsidRDefault="00221B29" w:rsidP="00221B29">
            <w:pPr>
              <w:rPr>
                <w:i/>
              </w:rPr>
            </w:pPr>
            <w:r w:rsidRPr="00221B29">
              <w:rPr>
                <w:i/>
              </w:rPr>
              <w:t>Categories of eligible costs to which the flat rate is to be applied to calculate the eligible amounts (type 1)</w:t>
            </w:r>
          </w:p>
        </w:tc>
        <w:tc>
          <w:tcPr>
            <w:tcW w:w="1797" w:type="pct"/>
            <w:shd w:val="clear" w:color="auto" w:fill="auto"/>
          </w:tcPr>
          <w:p w14:paraId="6277EEC0" w14:textId="77777777" w:rsidR="00221B29" w:rsidRPr="00221B29" w:rsidRDefault="00221B29" w:rsidP="00221B29">
            <w:r w:rsidRPr="00221B29">
              <w:t>Eligible direct staff costs = EUR 90 000</w:t>
            </w:r>
          </w:p>
        </w:tc>
      </w:tr>
      <w:tr w:rsidR="00221B29" w:rsidRPr="00221B29" w14:paraId="64752E39" w14:textId="77777777" w:rsidTr="7A56C7E6">
        <w:tc>
          <w:tcPr>
            <w:tcW w:w="3203" w:type="pct"/>
            <w:shd w:val="clear" w:color="auto" w:fill="auto"/>
          </w:tcPr>
          <w:p w14:paraId="1817615A" w14:textId="77777777" w:rsidR="00221B29" w:rsidRPr="00221B29" w:rsidRDefault="00221B29" w:rsidP="00221B29">
            <w:pPr>
              <w:rPr>
                <w:i/>
              </w:rPr>
            </w:pPr>
            <w:r w:rsidRPr="00221B29">
              <w:rPr>
                <w:i/>
              </w:rPr>
              <w:t>The flat rate</w:t>
            </w:r>
          </w:p>
        </w:tc>
        <w:tc>
          <w:tcPr>
            <w:tcW w:w="1797" w:type="pct"/>
            <w:shd w:val="clear" w:color="auto" w:fill="auto"/>
          </w:tcPr>
          <w:p w14:paraId="53FE7902" w14:textId="77777777" w:rsidR="00221B29" w:rsidRPr="00221B29" w:rsidRDefault="00221B29" w:rsidP="00221B29">
            <w:r w:rsidRPr="00221B29">
              <w:t>40 % (no justification needed)</w:t>
            </w:r>
          </w:p>
        </w:tc>
      </w:tr>
      <w:tr w:rsidR="00221B29" w:rsidRPr="00221B29" w14:paraId="03BD1013" w14:textId="77777777" w:rsidTr="7A56C7E6">
        <w:tc>
          <w:tcPr>
            <w:tcW w:w="3203" w:type="pct"/>
            <w:shd w:val="clear" w:color="auto" w:fill="auto"/>
          </w:tcPr>
          <w:p w14:paraId="7E7B1B24" w14:textId="77777777" w:rsidR="00221B29" w:rsidRPr="00221B29" w:rsidRDefault="00221B29" w:rsidP="00221B29">
            <w:pPr>
              <w:rPr>
                <w:i/>
              </w:rPr>
            </w:pPr>
            <w:r w:rsidRPr="00221B29">
              <w:rPr>
                <w:i/>
              </w:rPr>
              <w:t xml:space="preserve">Categories of eligible costs that will be </w:t>
            </w:r>
            <w:r w:rsidRPr="00BE7329">
              <w:rPr>
                <w:b/>
                <w:i/>
                <w:color w:val="4472C4" w:themeColor="accent1"/>
              </w:rPr>
              <w:t>calculated</w:t>
            </w:r>
            <w:r w:rsidRPr="00BE7329">
              <w:rPr>
                <w:i/>
                <w:color w:val="4472C4" w:themeColor="accent1"/>
              </w:rPr>
              <w:t xml:space="preserve"> </w:t>
            </w:r>
            <w:r w:rsidRPr="00221B29">
              <w:rPr>
                <w:i/>
              </w:rPr>
              <w:t>with the flat rate (type 2)</w:t>
            </w:r>
          </w:p>
        </w:tc>
        <w:tc>
          <w:tcPr>
            <w:tcW w:w="1797" w:type="pct"/>
            <w:shd w:val="clear" w:color="auto" w:fill="auto"/>
          </w:tcPr>
          <w:p w14:paraId="53CD3D7F" w14:textId="77777777" w:rsidR="00221B29" w:rsidRPr="00221B29" w:rsidRDefault="00221B29" w:rsidP="00221B29">
            <w:r w:rsidRPr="00221B29">
              <w:t>All other costs = 40 % of eligible direct staff costs = 40 % x 90 000 = EUR 36 000</w:t>
            </w:r>
          </w:p>
        </w:tc>
      </w:tr>
      <w:tr w:rsidR="00221B29" w:rsidRPr="00221B29" w14:paraId="3DC51046" w14:textId="77777777" w:rsidTr="7A56C7E6">
        <w:tc>
          <w:tcPr>
            <w:tcW w:w="3203" w:type="pct"/>
            <w:shd w:val="clear" w:color="auto" w:fill="auto"/>
          </w:tcPr>
          <w:p w14:paraId="071E61B4" w14:textId="77777777" w:rsidR="00221B29" w:rsidRPr="00221B29" w:rsidRDefault="00221B29" w:rsidP="00221B29">
            <w:pPr>
              <w:rPr>
                <w:i/>
              </w:rPr>
            </w:pPr>
            <w:r w:rsidRPr="00221B29">
              <w:rPr>
                <w:i/>
              </w:rPr>
              <w:t>Categories of eligible costs to which the rate is not applied and that are not calculated with the flat rate (type 3)</w:t>
            </w:r>
          </w:p>
        </w:tc>
        <w:tc>
          <w:tcPr>
            <w:tcW w:w="1797" w:type="pct"/>
            <w:shd w:val="clear" w:color="auto" w:fill="auto"/>
          </w:tcPr>
          <w:p w14:paraId="3396DDBB" w14:textId="77777777" w:rsidR="00221B29" w:rsidRPr="00221B29" w:rsidRDefault="07EDC88F" w:rsidP="00221B29">
            <w:r w:rsidRPr="00221B29">
              <w:t>Salaries and allowances paid to for participants</w:t>
            </w:r>
            <w:r w:rsidR="00221B29" w:rsidRPr="00221B29">
              <w:rPr>
                <w:vertAlign w:val="superscript"/>
              </w:rPr>
              <w:footnoteReference w:id="33"/>
            </w:r>
            <w:r w:rsidRPr="00221B29">
              <w:t xml:space="preserve"> can be declared in addition to the 40% flat rate and direct staff costs (Article 56(2) CPR).</w:t>
            </w:r>
          </w:p>
        </w:tc>
      </w:tr>
    </w:tbl>
    <w:p w14:paraId="52847C16" w14:textId="77777777" w:rsidR="00221B29" w:rsidRPr="00221B29" w:rsidRDefault="00221B29" w:rsidP="00221B29">
      <w:r w:rsidRPr="00221B29">
        <w:t>Total eligible costs = Direct staff costs + all other calculated costs = 90 000 + 36 000 = EUR 126 000</w:t>
      </w:r>
    </w:p>
    <w:p w14:paraId="3F99452A" w14:textId="77777777" w:rsidR="00221B29" w:rsidRPr="00221B29" w:rsidRDefault="00221B29" w:rsidP="00221B29"/>
    <w:p w14:paraId="253A291F" w14:textId="77777777" w:rsidR="00B86A5E" w:rsidRDefault="00B86A5E" w:rsidP="00221B29"/>
    <w:p w14:paraId="75FF28AF" w14:textId="5FE9BE66" w:rsidR="00221B29" w:rsidRPr="00221B29" w:rsidRDefault="00221B29" w:rsidP="00221B29">
      <w:r w:rsidRPr="00221B29">
        <w:t xml:space="preserve">The draft budget takes the following form: </w:t>
      </w:r>
    </w:p>
    <w:tbl>
      <w:tblPr>
        <w:tblW w:w="9087" w:type="dxa"/>
        <w:tblInd w:w="93" w:type="dxa"/>
        <w:tblLook w:val="04A0" w:firstRow="1" w:lastRow="0" w:firstColumn="1" w:lastColumn="0" w:noHBand="0" w:noVBand="1"/>
      </w:tblPr>
      <w:tblGrid>
        <w:gridCol w:w="2800"/>
        <w:gridCol w:w="960"/>
        <w:gridCol w:w="650"/>
        <w:gridCol w:w="3402"/>
        <w:gridCol w:w="1275"/>
      </w:tblGrid>
      <w:tr w:rsidR="00221B29" w:rsidRPr="00221B29" w14:paraId="0BD1FC48" w14:textId="77777777">
        <w:trPr>
          <w:trHeight w:val="300"/>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8A5E7" w14:textId="77777777" w:rsidR="00221B29" w:rsidRPr="00221B29" w:rsidRDefault="00221B29" w:rsidP="00221B29">
            <w:r w:rsidRPr="00221B29">
              <w:t>Direct staff costs (type 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4917127" w14:textId="77777777" w:rsidR="00221B29" w:rsidRPr="00221B29" w:rsidRDefault="00221B29" w:rsidP="00221B29">
            <w:r w:rsidRPr="00221B29">
              <w:t>90 000</w:t>
            </w:r>
          </w:p>
        </w:tc>
        <w:tc>
          <w:tcPr>
            <w:tcW w:w="650" w:type="dxa"/>
            <w:tcBorders>
              <w:top w:val="nil"/>
              <w:left w:val="nil"/>
              <w:bottom w:val="nil"/>
              <w:right w:val="nil"/>
            </w:tcBorders>
            <w:shd w:val="clear" w:color="auto" w:fill="auto"/>
            <w:noWrap/>
            <w:vAlign w:val="bottom"/>
            <w:hideMark/>
          </w:tcPr>
          <w:p w14:paraId="7AAE9DA9" w14:textId="77777777" w:rsidR="00221B29" w:rsidRPr="00221B29" w:rsidRDefault="00221B29" w:rsidP="00221B29">
            <w:r w:rsidRPr="00221B29">
              <w:t>=&gt;</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35AF4" w14:textId="77777777" w:rsidR="00221B29" w:rsidRPr="00221B29" w:rsidRDefault="00221B29" w:rsidP="00221B29">
            <w:r w:rsidRPr="00221B29">
              <w:t>All other costs (type 2) = 40 % direct staff costs</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0824EE2D" w14:textId="77777777" w:rsidR="00221B29" w:rsidRPr="00221B29" w:rsidRDefault="00221B29" w:rsidP="00221B29">
            <w:r w:rsidRPr="00221B29">
              <w:t>36 000</w:t>
            </w:r>
          </w:p>
        </w:tc>
      </w:tr>
      <w:tr w:rsidR="00221B29" w:rsidRPr="00221B29" w14:paraId="356E0618" w14:textId="77777777">
        <w:trPr>
          <w:trHeight w:val="300"/>
        </w:trPr>
        <w:tc>
          <w:tcPr>
            <w:tcW w:w="2800" w:type="dxa"/>
            <w:tcBorders>
              <w:top w:val="nil"/>
              <w:left w:val="nil"/>
              <w:bottom w:val="nil"/>
              <w:right w:val="nil"/>
            </w:tcBorders>
            <w:shd w:val="clear" w:color="auto" w:fill="auto"/>
            <w:noWrap/>
            <w:vAlign w:val="bottom"/>
            <w:hideMark/>
          </w:tcPr>
          <w:p w14:paraId="11C81805" w14:textId="77777777" w:rsidR="00221B29" w:rsidRPr="00221B29" w:rsidRDefault="00221B29" w:rsidP="00221B29">
            <w:pPr>
              <w:rPr>
                <w:i/>
              </w:rPr>
            </w:pPr>
            <w:r w:rsidRPr="00221B29">
              <w:rPr>
                <w:i/>
              </w:rPr>
              <w:t>(Generally based on real costs)</w:t>
            </w:r>
          </w:p>
        </w:tc>
        <w:tc>
          <w:tcPr>
            <w:tcW w:w="960" w:type="dxa"/>
            <w:tcBorders>
              <w:top w:val="nil"/>
              <w:left w:val="nil"/>
              <w:bottom w:val="nil"/>
              <w:right w:val="nil"/>
            </w:tcBorders>
            <w:shd w:val="clear" w:color="auto" w:fill="auto"/>
            <w:noWrap/>
            <w:vAlign w:val="bottom"/>
            <w:hideMark/>
          </w:tcPr>
          <w:p w14:paraId="444E44B1" w14:textId="77777777" w:rsidR="00221B29" w:rsidRPr="00221B29" w:rsidRDefault="00221B29" w:rsidP="00221B29"/>
        </w:tc>
        <w:tc>
          <w:tcPr>
            <w:tcW w:w="650" w:type="dxa"/>
            <w:tcBorders>
              <w:top w:val="nil"/>
              <w:left w:val="nil"/>
              <w:bottom w:val="nil"/>
              <w:right w:val="nil"/>
            </w:tcBorders>
            <w:shd w:val="clear" w:color="auto" w:fill="auto"/>
            <w:noWrap/>
            <w:vAlign w:val="bottom"/>
            <w:hideMark/>
          </w:tcPr>
          <w:p w14:paraId="09AE2215" w14:textId="77777777" w:rsidR="00221B29" w:rsidRPr="00221B29" w:rsidRDefault="00221B29" w:rsidP="00221B29"/>
        </w:tc>
        <w:tc>
          <w:tcPr>
            <w:tcW w:w="3402" w:type="dxa"/>
            <w:tcBorders>
              <w:top w:val="nil"/>
              <w:left w:val="nil"/>
              <w:bottom w:val="nil"/>
              <w:right w:val="nil"/>
            </w:tcBorders>
            <w:shd w:val="clear" w:color="auto" w:fill="auto"/>
            <w:noWrap/>
            <w:vAlign w:val="bottom"/>
            <w:hideMark/>
          </w:tcPr>
          <w:p w14:paraId="785E22B1" w14:textId="77777777" w:rsidR="00221B29" w:rsidRPr="00221B29" w:rsidRDefault="00221B29" w:rsidP="00221B29">
            <w:r w:rsidRPr="00221B29">
              <w:rPr>
                <w:i/>
              </w:rPr>
              <w:t>(calculated)</w:t>
            </w:r>
          </w:p>
        </w:tc>
        <w:tc>
          <w:tcPr>
            <w:tcW w:w="1275" w:type="dxa"/>
            <w:tcBorders>
              <w:top w:val="nil"/>
              <w:left w:val="nil"/>
              <w:bottom w:val="nil"/>
              <w:right w:val="nil"/>
            </w:tcBorders>
            <w:shd w:val="clear" w:color="auto" w:fill="auto"/>
            <w:noWrap/>
            <w:vAlign w:val="bottom"/>
            <w:hideMark/>
          </w:tcPr>
          <w:p w14:paraId="4E65E0CD" w14:textId="77777777" w:rsidR="00221B29" w:rsidRPr="00221B29" w:rsidRDefault="00221B29" w:rsidP="00221B29"/>
        </w:tc>
      </w:tr>
      <w:tr w:rsidR="00221B29" w:rsidRPr="00221B29" w14:paraId="4966DAD6" w14:textId="77777777">
        <w:trPr>
          <w:trHeight w:val="315"/>
        </w:trPr>
        <w:tc>
          <w:tcPr>
            <w:tcW w:w="2800" w:type="dxa"/>
            <w:tcBorders>
              <w:top w:val="nil"/>
              <w:left w:val="nil"/>
              <w:bottom w:val="nil"/>
              <w:right w:val="nil"/>
            </w:tcBorders>
            <w:shd w:val="clear" w:color="auto" w:fill="auto"/>
            <w:noWrap/>
            <w:vAlign w:val="bottom"/>
            <w:hideMark/>
          </w:tcPr>
          <w:p w14:paraId="58EC9697" w14:textId="77777777" w:rsidR="00221B29" w:rsidRPr="00221B29" w:rsidRDefault="00221B29" w:rsidP="00221B29"/>
        </w:tc>
        <w:tc>
          <w:tcPr>
            <w:tcW w:w="960" w:type="dxa"/>
            <w:tcBorders>
              <w:top w:val="nil"/>
              <w:left w:val="nil"/>
              <w:bottom w:val="nil"/>
              <w:right w:val="nil"/>
            </w:tcBorders>
            <w:shd w:val="clear" w:color="auto" w:fill="auto"/>
            <w:noWrap/>
            <w:vAlign w:val="bottom"/>
            <w:hideMark/>
          </w:tcPr>
          <w:p w14:paraId="075A10D3" w14:textId="77777777" w:rsidR="00221B29" w:rsidRPr="00221B29" w:rsidRDefault="00221B29" w:rsidP="00221B29"/>
        </w:tc>
        <w:tc>
          <w:tcPr>
            <w:tcW w:w="650" w:type="dxa"/>
            <w:tcBorders>
              <w:top w:val="nil"/>
              <w:left w:val="nil"/>
              <w:bottom w:val="nil"/>
              <w:right w:val="nil"/>
            </w:tcBorders>
            <w:shd w:val="clear" w:color="auto" w:fill="auto"/>
            <w:noWrap/>
            <w:vAlign w:val="bottom"/>
            <w:hideMark/>
          </w:tcPr>
          <w:p w14:paraId="25442CB2" w14:textId="77777777" w:rsidR="00221B29" w:rsidRPr="00221B29" w:rsidRDefault="00221B29" w:rsidP="00221B29"/>
        </w:tc>
        <w:tc>
          <w:tcPr>
            <w:tcW w:w="3402" w:type="dxa"/>
            <w:tcBorders>
              <w:top w:val="nil"/>
              <w:left w:val="nil"/>
              <w:bottom w:val="single" w:sz="8" w:space="0" w:color="auto"/>
              <w:right w:val="nil"/>
            </w:tcBorders>
            <w:shd w:val="clear" w:color="auto" w:fill="auto"/>
            <w:noWrap/>
            <w:vAlign w:val="bottom"/>
            <w:hideMark/>
          </w:tcPr>
          <w:p w14:paraId="43736B6D" w14:textId="77777777" w:rsidR="00221B29" w:rsidRPr="00221B29" w:rsidRDefault="00221B29" w:rsidP="00221B29"/>
        </w:tc>
        <w:tc>
          <w:tcPr>
            <w:tcW w:w="1275" w:type="dxa"/>
            <w:tcBorders>
              <w:top w:val="nil"/>
              <w:left w:val="nil"/>
              <w:bottom w:val="single" w:sz="8" w:space="0" w:color="auto"/>
              <w:right w:val="nil"/>
            </w:tcBorders>
            <w:shd w:val="clear" w:color="auto" w:fill="auto"/>
            <w:noWrap/>
            <w:vAlign w:val="bottom"/>
            <w:hideMark/>
          </w:tcPr>
          <w:p w14:paraId="3DED085E" w14:textId="77777777" w:rsidR="00221B29" w:rsidRPr="00221B29" w:rsidRDefault="00221B29" w:rsidP="00221B29"/>
        </w:tc>
      </w:tr>
      <w:tr w:rsidR="00221B29" w:rsidRPr="00221B29" w14:paraId="7DE415B0" w14:textId="77777777">
        <w:trPr>
          <w:trHeight w:val="315"/>
        </w:trPr>
        <w:tc>
          <w:tcPr>
            <w:tcW w:w="2800" w:type="dxa"/>
            <w:tcBorders>
              <w:top w:val="nil"/>
              <w:left w:val="nil"/>
              <w:bottom w:val="nil"/>
              <w:right w:val="nil"/>
            </w:tcBorders>
            <w:shd w:val="clear" w:color="auto" w:fill="auto"/>
            <w:noWrap/>
            <w:vAlign w:val="bottom"/>
            <w:hideMark/>
          </w:tcPr>
          <w:p w14:paraId="09E611AC" w14:textId="77777777" w:rsidR="00221B29" w:rsidRPr="00221B29" w:rsidRDefault="00221B29" w:rsidP="00221B29"/>
        </w:tc>
        <w:tc>
          <w:tcPr>
            <w:tcW w:w="960" w:type="dxa"/>
            <w:tcBorders>
              <w:top w:val="nil"/>
              <w:left w:val="nil"/>
              <w:bottom w:val="nil"/>
              <w:right w:val="nil"/>
            </w:tcBorders>
            <w:shd w:val="clear" w:color="auto" w:fill="auto"/>
            <w:noWrap/>
            <w:vAlign w:val="bottom"/>
            <w:hideMark/>
          </w:tcPr>
          <w:p w14:paraId="5A40A35D" w14:textId="77777777" w:rsidR="00221B29" w:rsidRPr="00221B29" w:rsidRDefault="00221B29" w:rsidP="00221B29"/>
        </w:tc>
        <w:tc>
          <w:tcPr>
            <w:tcW w:w="650" w:type="dxa"/>
            <w:tcBorders>
              <w:top w:val="nil"/>
              <w:left w:val="nil"/>
              <w:bottom w:val="nil"/>
              <w:right w:val="nil"/>
            </w:tcBorders>
            <w:shd w:val="clear" w:color="auto" w:fill="auto"/>
            <w:noWrap/>
            <w:vAlign w:val="bottom"/>
            <w:hideMark/>
          </w:tcPr>
          <w:p w14:paraId="7CC8033E" w14:textId="77777777" w:rsidR="00221B29" w:rsidRPr="00221B29" w:rsidRDefault="00221B29" w:rsidP="00221B29"/>
        </w:tc>
        <w:tc>
          <w:tcPr>
            <w:tcW w:w="3402" w:type="dxa"/>
            <w:tcBorders>
              <w:top w:val="single" w:sz="8" w:space="0" w:color="auto"/>
              <w:left w:val="single" w:sz="8" w:space="0" w:color="auto"/>
              <w:bottom w:val="single" w:sz="8" w:space="0" w:color="auto"/>
              <w:right w:val="single" w:sz="4" w:space="0" w:color="auto"/>
            </w:tcBorders>
            <w:shd w:val="clear" w:color="auto" w:fill="A6A6A6"/>
            <w:noWrap/>
            <w:vAlign w:val="bottom"/>
            <w:hideMark/>
          </w:tcPr>
          <w:p w14:paraId="20316746" w14:textId="77777777" w:rsidR="00221B29" w:rsidRPr="00221B29" w:rsidRDefault="00221B29" w:rsidP="00221B29">
            <w:r w:rsidRPr="00221B29">
              <w:t xml:space="preserve">Total eligible costs </w:t>
            </w:r>
          </w:p>
        </w:tc>
        <w:tc>
          <w:tcPr>
            <w:tcW w:w="1275" w:type="dxa"/>
            <w:tcBorders>
              <w:top w:val="single" w:sz="8" w:space="0" w:color="auto"/>
              <w:left w:val="nil"/>
              <w:bottom w:val="single" w:sz="8" w:space="0" w:color="auto"/>
              <w:right w:val="single" w:sz="8" w:space="0" w:color="auto"/>
            </w:tcBorders>
            <w:shd w:val="clear" w:color="auto" w:fill="A6A6A6"/>
            <w:noWrap/>
            <w:vAlign w:val="bottom"/>
            <w:hideMark/>
          </w:tcPr>
          <w:p w14:paraId="2253A4C0" w14:textId="77777777" w:rsidR="00221B29" w:rsidRPr="00221B29" w:rsidRDefault="00221B29" w:rsidP="00221B29">
            <w:r w:rsidRPr="00221B29">
              <w:t>126 000</w:t>
            </w:r>
          </w:p>
        </w:tc>
      </w:tr>
    </w:tbl>
    <w:p w14:paraId="39017F22" w14:textId="77777777" w:rsidR="00221B29" w:rsidRPr="00221B29" w:rsidRDefault="00221B29" w:rsidP="00221B29"/>
    <w:p w14:paraId="09771485" w14:textId="77777777" w:rsidR="00221B29" w:rsidRPr="00B86A5E" w:rsidRDefault="00221B29" w:rsidP="00221B29">
      <w:pPr>
        <w:rPr>
          <w:b/>
          <w:bCs/>
          <w:color w:val="4472C4" w:themeColor="accent1"/>
        </w:rPr>
      </w:pPr>
      <w:r w:rsidRPr="00B86A5E">
        <w:rPr>
          <w:b/>
          <w:bCs/>
          <w:color w:val="4472C4" w:themeColor="accent1"/>
        </w:rPr>
        <w:t>Audit trail: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9"/>
        <w:gridCol w:w="5177"/>
      </w:tblGrid>
      <w:tr w:rsidR="00221B29" w:rsidRPr="00221B29" w14:paraId="60E03535" w14:textId="77777777">
        <w:tc>
          <w:tcPr>
            <w:tcW w:w="2129" w:type="pct"/>
            <w:shd w:val="clear" w:color="auto" w:fill="auto"/>
          </w:tcPr>
          <w:p w14:paraId="385AEBA3" w14:textId="77777777" w:rsidR="00221B29" w:rsidRPr="00221B29" w:rsidRDefault="00221B29" w:rsidP="00221B29">
            <w:pPr>
              <w:rPr>
                <w:i/>
              </w:rPr>
            </w:pPr>
            <w:r w:rsidRPr="00221B29">
              <w:rPr>
                <w:i/>
              </w:rPr>
              <w:t>Categories of eligible costs to which the flat rate is to be applied to calculate the eligible amounts</w:t>
            </w:r>
          </w:p>
        </w:tc>
        <w:tc>
          <w:tcPr>
            <w:tcW w:w="2871" w:type="pct"/>
            <w:shd w:val="clear" w:color="auto" w:fill="auto"/>
          </w:tcPr>
          <w:p w14:paraId="130EA455" w14:textId="77777777" w:rsidR="00221B29" w:rsidRPr="00221B29" w:rsidRDefault="00221B29" w:rsidP="00221B29">
            <w:r w:rsidRPr="00221B29">
              <w:t>Direct staff costs =</w:t>
            </w:r>
          </w:p>
          <w:p w14:paraId="33C31BBC" w14:textId="77777777" w:rsidR="00221B29" w:rsidRPr="00221B29" w:rsidRDefault="00221B29" w:rsidP="00221B29">
            <w:pPr>
              <w:numPr>
                <w:ilvl w:val="0"/>
                <w:numId w:val="80"/>
              </w:numPr>
            </w:pPr>
            <w:r w:rsidRPr="00221B29">
              <w:t xml:space="preserve">clear definition of what direct staff costs </w:t>
            </w:r>
            <w:proofErr w:type="gramStart"/>
            <w:r w:rsidRPr="00221B29">
              <w:t>are;</w:t>
            </w:r>
            <w:proofErr w:type="gramEnd"/>
          </w:p>
          <w:p w14:paraId="5F0BC061" w14:textId="77777777" w:rsidR="00221B29" w:rsidRPr="00221B29" w:rsidRDefault="00221B29" w:rsidP="00221B29">
            <w:pPr>
              <w:numPr>
                <w:ilvl w:val="0"/>
                <w:numId w:val="80"/>
              </w:numPr>
            </w:pPr>
            <w:r w:rsidRPr="00221B29">
              <w:lastRenderedPageBreak/>
              <w:t>proof of salary costs (pay slips, timesheets if relevant, collective agreements to justify benefits in kind if applicable, detailed invoice of external provider)</w:t>
            </w:r>
          </w:p>
        </w:tc>
      </w:tr>
      <w:tr w:rsidR="00221B29" w:rsidRPr="00221B29" w14:paraId="4D955C0F" w14:textId="77777777">
        <w:tc>
          <w:tcPr>
            <w:tcW w:w="2129" w:type="pct"/>
            <w:shd w:val="clear" w:color="auto" w:fill="auto"/>
          </w:tcPr>
          <w:p w14:paraId="146628A5" w14:textId="77777777" w:rsidR="00221B29" w:rsidRPr="00221B29" w:rsidRDefault="00221B29" w:rsidP="00221B29">
            <w:pPr>
              <w:rPr>
                <w:i/>
              </w:rPr>
            </w:pPr>
            <w:r w:rsidRPr="00221B29">
              <w:rPr>
                <w:i/>
              </w:rPr>
              <w:lastRenderedPageBreak/>
              <w:t>The flat rate</w:t>
            </w:r>
          </w:p>
        </w:tc>
        <w:tc>
          <w:tcPr>
            <w:tcW w:w="2871" w:type="pct"/>
            <w:shd w:val="clear" w:color="auto" w:fill="auto"/>
          </w:tcPr>
          <w:p w14:paraId="2E31F51E" w14:textId="77777777" w:rsidR="00221B29" w:rsidRPr="00221B29" w:rsidRDefault="00221B29" w:rsidP="00221B29">
            <w:r w:rsidRPr="00221B29">
              <w:t>Reference to Article 56(1) CPR is needed in the document setting out the conditions for support.</w:t>
            </w:r>
          </w:p>
        </w:tc>
      </w:tr>
      <w:tr w:rsidR="00221B29" w:rsidRPr="00221B29" w14:paraId="29F7B171" w14:textId="77777777">
        <w:tc>
          <w:tcPr>
            <w:tcW w:w="2129" w:type="pct"/>
            <w:shd w:val="clear" w:color="auto" w:fill="auto"/>
          </w:tcPr>
          <w:p w14:paraId="75F99552" w14:textId="77777777" w:rsidR="00221B29" w:rsidRPr="00221B29" w:rsidRDefault="00221B29" w:rsidP="00221B29">
            <w:pPr>
              <w:rPr>
                <w:i/>
              </w:rPr>
            </w:pPr>
            <w:r w:rsidRPr="00221B29">
              <w:rPr>
                <w:i/>
              </w:rPr>
              <w:t xml:space="preserve">Categories of eligible costs that will be </w:t>
            </w:r>
            <w:r w:rsidRPr="00221B29">
              <w:rPr>
                <w:b/>
                <w:i/>
              </w:rPr>
              <w:t>calculated</w:t>
            </w:r>
            <w:r w:rsidRPr="00221B29">
              <w:rPr>
                <w:i/>
              </w:rPr>
              <w:t xml:space="preserve"> with the flat rate (type 2)</w:t>
            </w:r>
          </w:p>
        </w:tc>
        <w:tc>
          <w:tcPr>
            <w:tcW w:w="2871" w:type="pct"/>
            <w:shd w:val="clear" w:color="auto" w:fill="auto"/>
          </w:tcPr>
          <w:p w14:paraId="02E25DE2" w14:textId="77777777" w:rsidR="00221B29" w:rsidRPr="00221B29" w:rsidRDefault="00221B29" w:rsidP="00221B29">
            <w:r w:rsidRPr="00221B29">
              <w:t>No justification needed.</w:t>
            </w:r>
          </w:p>
          <w:p w14:paraId="41385A94" w14:textId="77777777" w:rsidR="00221B29" w:rsidRPr="00221B29" w:rsidRDefault="00221B29" w:rsidP="00221B29">
            <w:r w:rsidRPr="00221B29">
              <w:t xml:space="preserve">However, it is recommended to specify what kind of categories of costs are covered by this flat rate </w:t>
            </w:r>
            <w:proofErr w:type="gramStart"/>
            <w:r w:rsidRPr="00221B29">
              <w:t>in order to</w:t>
            </w:r>
            <w:proofErr w:type="gramEnd"/>
            <w:r w:rsidRPr="00221B29">
              <w:t xml:space="preserve"> demonstrate compliance with State aid rules, if applicable.</w:t>
            </w:r>
          </w:p>
        </w:tc>
      </w:tr>
      <w:tr w:rsidR="00221B29" w:rsidRPr="00221B29" w14:paraId="46B8C9F6" w14:textId="77777777">
        <w:tc>
          <w:tcPr>
            <w:tcW w:w="2129" w:type="pct"/>
            <w:shd w:val="clear" w:color="auto" w:fill="auto"/>
          </w:tcPr>
          <w:p w14:paraId="1E5F0615" w14:textId="77777777" w:rsidR="00221B29" w:rsidRPr="00221B29" w:rsidRDefault="00221B29" w:rsidP="00221B29">
            <w:pPr>
              <w:rPr>
                <w:i/>
              </w:rPr>
            </w:pPr>
            <w:r w:rsidRPr="00221B29">
              <w:rPr>
                <w:i/>
              </w:rPr>
              <w:t>Categories of eligible costs to which the rate is not applied and that are not calculated with the flat rate (type 3)</w:t>
            </w:r>
          </w:p>
        </w:tc>
        <w:tc>
          <w:tcPr>
            <w:tcW w:w="2871" w:type="pct"/>
            <w:shd w:val="clear" w:color="auto" w:fill="auto"/>
          </w:tcPr>
          <w:p w14:paraId="3E7918CA" w14:textId="77777777" w:rsidR="00221B29" w:rsidRPr="00221B29" w:rsidRDefault="00221B29" w:rsidP="00221B29">
            <w:r w:rsidRPr="00221B29">
              <w:t>Proof of salaries and allowances paid to participants.</w:t>
            </w:r>
          </w:p>
        </w:tc>
      </w:tr>
    </w:tbl>
    <w:p w14:paraId="3A28AE45" w14:textId="4F30027D" w:rsidR="00221B29" w:rsidRDefault="00221B29" w:rsidP="00BE7329">
      <w:pPr>
        <w:pStyle w:val="Heading1"/>
      </w:pPr>
      <w:r w:rsidRPr="00221B29">
        <w:br w:type="page"/>
      </w:r>
      <w:bookmarkStart w:id="82" w:name="_Toc29204412"/>
      <w:bookmarkStart w:id="83" w:name="_Toc159236863"/>
      <w:bookmarkStart w:id="84" w:name="_Toc168350341"/>
      <w:r w:rsidRPr="00AD0B7C">
        <w:rPr>
          <w:color w:val="4472C4" w:themeColor="accent1"/>
        </w:rPr>
        <w:lastRenderedPageBreak/>
        <w:t xml:space="preserve">Annex </w:t>
      </w:r>
      <w:r w:rsidRPr="00AD0B7C">
        <w:rPr>
          <w:color w:val="4472C4" w:themeColor="accent1"/>
        </w:rPr>
        <w:t xml:space="preserve">2: </w:t>
      </w:r>
      <w:bookmarkEnd w:id="82"/>
      <w:bookmarkEnd w:id="83"/>
      <w:r w:rsidR="009E19C6" w:rsidRPr="00AD0B7C">
        <w:rPr>
          <w:color w:val="4472C4" w:themeColor="accent1"/>
        </w:rPr>
        <w:t>How to fill in Appendix 1 of Annex V and VI CPR</w:t>
      </w:r>
      <w:bookmarkEnd w:id="84"/>
    </w:p>
    <w:p w14:paraId="5B8F40CF" w14:textId="66AD2CEB" w:rsidR="009E19C6" w:rsidRPr="00B86A5E" w:rsidRDefault="00B86A5E" w:rsidP="4E6B9547">
      <w:pPr>
        <w:spacing w:before="0" w:after="200"/>
      </w:pPr>
      <w:r w:rsidRPr="00B86A5E">
        <w:t>Under preparation</w:t>
      </w:r>
      <w:r w:rsidR="00AD0B7C">
        <w:br w:type="page"/>
      </w:r>
    </w:p>
    <w:p w14:paraId="7C9E34F6" w14:textId="66AD2CEB" w:rsidR="009C4A09" w:rsidRPr="00AD0B7C" w:rsidRDefault="009C4A09" w:rsidP="009C4A09">
      <w:pPr>
        <w:pStyle w:val="Heading1"/>
        <w:rPr>
          <w:color w:val="4472C4" w:themeColor="accent1"/>
        </w:rPr>
      </w:pPr>
      <w:bookmarkStart w:id="85" w:name="_Toc168350342"/>
      <w:r w:rsidRPr="00AD0B7C">
        <w:rPr>
          <w:color w:val="4472C4" w:themeColor="accent1"/>
        </w:rPr>
        <w:t>Annex 3: Example of SCOs’ compatibility with State aid rules</w:t>
      </w:r>
      <w:bookmarkEnd w:id="85"/>
    </w:p>
    <w:p w14:paraId="682583D2" w14:textId="06473F87" w:rsidR="00221B29" w:rsidRPr="00221B29" w:rsidRDefault="00221B29" w:rsidP="00221B29">
      <w:r w:rsidRPr="00221B29">
        <w:rPr>
          <w:lang w:val="en-US"/>
        </w:rPr>
        <w:t xml:space="preserve">A company obtains a grant under a </w:t>
      </w:r>
      <w:proofErr w:type="gramStart"/>
      <w:r w:rsidRPr="00221B29">
        <w:rPr>
          <w:lang w:val="en-US"/>
        </w:rPr>
        <w:t>State</w:t>
      </w:r>
      <w:proofErr w:type="gramEnd"/>
      <w:r w:rsidRPr="00221B29">
        <w:rPr>
          <w:lang w:val="en-US"/>
        </w:rPr>
        <w:t xml:space="preserve"> aid scheme to implement a training project for its staff. The public support amounts to EUR 387 000. This aid is below the EUR 3 million notification threshold laid down in Article 4(1)(n) </w:t>
      </w:r>
      <w:r w:rsidRPr="00221B29">
        <w:t xml:space="preserve">GBER for trainings. </w:t>
      </w:r>
      <w:proofErr w:type="gramStart"/>
      <w:r w:rsidRPr="00221B29">
        <w:rPr>
          <w:lang w:val="en-US"/>
        </w:rPr>
        <w:t>Therefore</w:t>
      </w:r>
      <w:proofErr w:type="gramEnd"/>
      <w:r w:rsidRPr="00221B29">
        <w:rPr>
          <w:lang w:val="en-US"/>
        </w:rPr>
        <w:t xml:space="preserve"> the GBER applies.</w:t>
      </w:r>
    </w:p>
    <w:p w14:paraId="023F0AED" w14:textId="77777777" w:rsidR="00221B29" w:rsidRPr="00221B29" w:rsidRDefault="00221B29" w:rsidP="00221B29">
      <w:pPr>
        <w:rPr>
          <w:lang w:val="en-US"/>
        </w:rPr>
      </w:pPr>
      <w:r w:rsidRPr="00221B29">
        <w:rPr>
          <w:lang w:val="en-US"/>
        </w:rPr>
        <w:t xml:space="preserve">The beneficiary and the managing authority agree to make use of standard scales of unit costs to determine the cost of the course per participant. </w:t>
      </w:r>
    </w:p>
    <w:p w14:paraId="4792CE56" w14:textId="77777777" w:rsidR="00221B29" w:rsidRPr="00221B29" w:rsidRDefault="00221B29" w:rsidP="00221B29">
      <w:pPr>
        <w:rPr>
          <w:lang w:val="en-US"/>
        </w:rPr>
      </w:pPr>
      <w:r w:rsidRPr="00221B29">
        <w:rPr>
          <w:lang w:val="en-US"/>
        </w:rPr>
        <w:t>Article 31 GBER states the following regarding training aid:</w:t>
      </w:r>
    </w:p>
    <w:p w14:paraId="1E07879E" w14:textId="77777777" w:rsidR="00804456" w:rsidRDefault="00804456" w:rsidP="00804456">
      <w:pPr>
        <w:ind w:left="720" w:hanging="720"/>
        <w:rPr>
          <w:lang w:val="en-US"/>
        </w:rPr>
      </w:pPr>
      <w:r>
        <w:rPr>
          <w:lang w:val="en-US"/>
        </w:rPr>
        <w:t>(1)</w:t>
      </w:r>
      <w:r>
        <w:rPr>
          <w:lang w:val="en-US"/>
        </w:rPr>
        <w:tab/>
      </w:r>
      <w:r w:rsidR="00221B29" w:rsidRPr="00804456">
        <w:rPr>
          <w:lang w:val="en-US"/>
        </w:rPr>
        <w:t>Training aid shall be compatible with the internal market within the meaning of Article 107(3) of the Treaty and shall be exempted from the notification requirement of Article 108(3) of the Treaty, provided that the conditions laid down in this Article and in Chapter I are fulfilled.</w:t>
      </w:r>
    </w:p>
    <w:p w14:paraId="092DF3B3" w14:textId="4CA43F72" w:rsidR="00221B29" w:rsidRPr="00804456" w:rsidRDefault="00804456" w:rsidP="00804456">
      <w:pPr>
        <w:ind w:left="720" w:hanging="720"/>
        <w:rPr>
          <w:lang w:val="en-US"/>
        </w:rPr>
      </w:pPr>
      <w:r>
        <w:rPr>
          <w:lang w:val="en-US"/>
        </w:rPr>
        <w:t>(2)</w:t>
      </w:r>
      <w:r>
        <w:rPr>
          <w:lang w:val="en-US"/>
        </w:rPr>
        <w:tab/>
      </w:r>
      <w:r w:rsidR="00221B29" w:rsidRPr="00804456">
        <w:rPr>
          <w:lang w:val="en-US"/>
        </w:rPr>
        <w:t>Aid shall not be granted for training which undertakings carry out to comply with national mandatory standards on training.</w:t>
      </w:r>
    </w:p>
    <w:p w14:paraId="42EACD5A" w14:textId="44F15695" w:rsidR="00221B29" w:rsidRPr="00804456" w:rsidRDefault="00804456" w:rsidP="00804456">
      <w:pPr>
        <w:rPr>
          <w:lang w:val="en-US"/>
        </w:rPr>
      </w:pPr>
      <w:r>
        <w:rPr>
          <w:lang w:val="en-US"/>
        </w:rPr>
        <w:t>(3)</w:t>
      </w:r>
      <w:r>
        <w:rPr>
          <w:lang w:val="en-US"/>
        </w:rPr>
        <w:tab/>
      </w:r>
      <w:r w:rsidR="00221B29" w:rsidRPr="00804456">
        <w:rPr>
          <w:lang w:val="en-US"/>
        </w:rPr>
        <w:t>The eligible costs shall be the following:</w:t>
      </w:r>
    </w:p>
    <w:p w14:paraId="44D4DFCB" w14:textId="77777777" w:rsidR="00221B29" w:rsidRPr="00221B29" w:rsidRDefault="00221B29" w:rsidP="00804456">
      <w:pPr>
        <w:ind w:left="720" w:hanging="11"/>
        <w:rPr>
          <w:lang w:val="en-US"/>
        </w:rPr>
      </w:pPr>
      <w:r w:rsidRPr="00221B29">
        <w:rPr>
          <w:lang w:val="en-US"/>
        </w:rPr>
        <w:t xml:space="preserve">(a) trainers’ personnel costs, for the hours during which the trainers participate in the </w:t>
      </w:r>
      <w:proofErr w:type="gramStart"/>
      <w:r w:rsidRPr="00221B29">
        <w:rPr>
          <w:lang w:val="en-US"/>
        </w:rPr>
        <w:t>training;</w:t>
      </w:r>
      <w:proofErr w:type="gramEnd"/>
    </w:p>
    <w:p w14:paraId="359A5061" w14:textId="77777777" w:rsidR="00221B29" w:rsidRPr="00221B29" w:rsidRDefault="00221B29" w:rsidP="00804456">
      <w:pPr>
        <w:ind w:left="709"/>
        <w:rPr>
          <w:lang w:val="en-US"/>
        </w:rPr>
      </w:pPr>
      <w:r w:rsidRPr="00221B29">
        <w:rPr>
          <w:lang w:val="en-US"/>
        </w:rPr>
        <w:t>(b) trainers’ and trainees’ operating costs directly relating to the training project such as travel expenses, accommodation costs, materials and supplies directly related to the project, depreciation of tools and equipment, to the extent that they are used exclusively for the training project.</w:t>
      </w:r>
    </w:p>
    <w:p w14:paraId="7C0A66B6" w14:textId="77777777" w:rsidR="00221B29" w:rsidRPr="00221B29" w:rsidRDefault="00221B29" w:rsidP="00804456">
      <w:pPr>
        <w:ind w:left="720" w:hanging="11"/>
        <w:rPr>
          <w:lang w:val="en-US"/>
        </w:rPr>
      </w:pPr>
      <w:r w:rsidRPr="00221B29">
        <w:rPr>
          <w:lang w:val="en-US"/>
        </w:rPr>
        <w:t xml:space="preserve">(c) costs of advisory services linked to the training </w:t>
      </w:r>
      <w:proofErr w:type="gramStart"/>
      <w:r w:rsidRPr="00221B29">
        <w:rPr>
          <w:lang w:val="en-US"/>
        </w:rPr>
        <w:t>project;</w:t>
      </w:r>
      <w:proofErr w:type="gramEnd"/>
    </w:p>
    <w:p w14:paraId="36134D47" w14:textId="77777777" w:rsidR="00221B29" w:rsidRPr="00221B29" w:rsidRDefault="00221B29" w:rsidP="00804456">
      <w:pPr>
        <w:ind w:left="709"/>
        <w:rPr>
          <w:lang w:val="en-US"/>
        </w:rPr>
      </w:pPr>
      <w:r w:rsidRPr="00221B29">
        <w:rPr>
          <w:lang w:val="en-US"/>
        </w:rPr>
        <w:t>(d) trainees' personnel costs and general indirect costs (administrative costs, rent, overheads) for the hours during which the trainees participate in the training.</w:t>
      </w:r>
    </w:p>
    <w:p w14:paraId="1D886BB2" w14:textId="114B88F9" w:rsidR="00221B29" w:rsidRPr="00804456" w:rsidRDefault="00804456" w:rsidP="00804456">
      <w:pPr>
        <w:ind w:left="709" w:hanging="709"/>
        <w:rPr>
          <w:lang w:val="en-US"/>
        </w:rPr>
      </w:pPr>
      <w:r>
        <w:rPr>
          <w:lang w:val="en-US"/>
        </w:rPr>
        <w:t>(4)</w:t>
      </w:r>
      <w:r>
        <w:rPr>
          <w:lang w:val="en-US"/>
        </w:rPr>
        <w:tab/>
      </w:r>
      <w:r w:rsidR="00221B29" w:rsidRPr="00804456">
        <w:rPr>
          <w:lang w:val="en-US"/>
        </w:rPr>
        <w:t>The aid intensity shall not exceed 50% of the eligible costs. It may be increased, up to a maximum aid intensity of 70% of the eligible costs, as follows:</w:t>
      </w:r>
    </w:p>
    <w:p w14:paraId="15984968" w14:textId="77777777" w:rsidR="00221B29" w:rsidRPr="00221B29" w:rsidRDefault="00221B29" w:rsidP="006C6DCE">
      <w:pPr>
        <w:ind w:left="709"/>
        <w:rPr>
          <w:lang w:val="en-US"/>
        </w:rPr>
      </w:pPr>
      <w:r w:rsidRPr="00221B29">
        <w:rPr>
          <w:lang w:val="en-US"/>
        </w:rPr>
        <w:t xml:space="preserve">(a) by 10 percentage points if the training is given to workers with disabilities or disadvantaged </w:t>
      </w:r>
      <w:proofErr w:type="gramStart"/>
      <w:r w:rsidRPr="00221B29">
        <w:rPr>
          <w:lang w:val="en-US"/>
        </w:rPr>
        <w:t>workers;</w:t>
      </w:r>
      <w:proofErr w:type="gramEnd"/>
    </w:p>
    <w:p w14:paraId="0E44E809" w14:textId="77777777" w:rsidR="00221B29" w:rsidRPr="00221B29" w:rsidRDefault="00221B29" w:rsidP="006C6DCE">
      <w:pPr>
        <w:ind w:left="709"/>
        <w:rPr>
          <w:lang w:val="en-US"/>
        </w:rPr>
      </w:pPr>
      <w:r w:rsidRPr="00221B29">
        <w:rPr>
          <w:lang w:val="en-US"/>
        </w:rPr>
        <w:t xml:space="preserve">(b) by 10 percentage points if the aid is granted to medium-sized enterprises and by 20 percentage points if the aid is granted to small </w:t>
      </w:r>
      <w:proofErr w:type="gramStart"/>
      <w:r w:rsidRPr="00221B29">
        <w:rPr>
          <w:lang w:val="en-US"/>
        </w:rPr>
        <w:t>enterprises;</w:t>
      </w:r>
      <w:proofErr w:type="gramEnd"/>
    </w:p>
    <w:p w14:paraId="04865F2A" w14:textId="3D4FBF7B" w:rsidR="00221B29" w:rsidRPr="00221B29" w:rsidRDefault="006C6DCE" w:rsidP="006C6DCE">
      <w:pPr>
        <w:ind w:left="709" w:hanging="709"/>
        <w:rPr>
          <w:lang w:val="en-US"/>
        </w:rPr>
      </w:pPr>
      <w:r>
        <w:rPr>
          <w:lang w:val="en-US"/>
        </w:rPr>
        <w:t>(5)</w:t>
      </w:r>
      <w:r>
        <w:rPr>
          <w:lang w:val="en-US"/>
        </w:rPr>
        <w:tab/>
      </w:r>
      <w:r w:rsidR="00221B29" w:rsidRPr="00221B29">
        <w:rPr>
          <w:lang w:val="en-US"/>
        </w:rPr>
        <w:t>Where the aid is granted in the maritime transport sector, the aid intensity may be increased to 100% of the eligible costs provided that the following conditions are met:</w:t>
      </w:r>
    </w:p>
    <w:p w14:paraId="31FD8315" w14:textId="77777777" w:rsidR="00221B29" w:rsidRPr="00221B29" w:rsidRDefault="00221B29" w:rsidP="006C6DCE">
      <w:pPr>
        <w:ind w:left="709"/>
        <w:rPr>
          <w:lang w:val="en-US"/>
        </w:rPr>
      </w:pPr>
      <w:r w:rsidRPr="00221B29">
        <w:rPr>
          <w:lang w:val="en-US"/>
        </w:rPr>
        <w:t>(a) the trainees are not active members of the crew but are supernumerary on board; and</w:t>
      </w:r>
    </w:p>
    <w:p w14:paraId="659A98A4" w14:textId="77777777" w:rsidR="00221B29" w:rsidRPr="00221B29" w:rsidRDefault="00221B29" w:rsidP="006C6DCE">
      <w:pPr>
        <w:ind w:left="709"/>
        <w:rPr>
          <w:lang w:val="en-US"/>
        </w:rPr>
      </w:pPr>
      <w:r w:rsidRPr="00221B29">
        <w:rPr>
          <w:lang w:val="en-US"/>
        </w:rPr>
        <w:t>(b) the training is carried out on board of ships entered in Union registers.</w:t>
      </w:r>
    </w:p>
    <w:p w14:paraId="76DEA783" w14:textId="77777777" w:rsidR="00221B29" w:rsidRPr="00221B29" w:rsidRDefault="00221B29" w:rsidP="00221B29">
      <w:r w:rsidRPr="00221B29">
        <w:t>The managing authority decides to establish standard scales of unit costs to determine the eligible expenditure of the projects. It is using statistical data (according to Article 53(3)(a)(</w:t>
      </w:r>
      <w:proofErr w:type="spellStart"/>
      <w:r w:rsidRPr="00221B29">
        <w:t>i</w:t>
      </w:r>
      <w:proofErr w:type="spellEnd"/>
      <w:r w:rsidRPr="00221B29">
        <w:t xml:space="preserve">) CPR) on similar type of training </w:t>
      </w:r>
      <w:proofErr w:type="gramStart"/>
      <w:r w:rsidRPr="00221B29">
        <w:t>in a given</w:t>
      </w:r>
      <w:proofErr w:type="gramEnd"/>
      <w:r w:rsidRPr="00221B29">
        <w:t xml:space="preserve"> geographical area. </w:t>
      </w:r>
    </w:p>
    <w:p w14:paraId="56CD47EC" w14:textId="77777777" w:rsidR="00221B29" w:rsidRPr="00221B29" w:rsidRDefault="00221B29" w:rsidP="00221B29">
      <w:r w:rsidRPr="00221B29">
        <w:lastRenderedPageBreak/>
        <w:t>After appropriate treatment of the statistical data, the resulting average costs per item of expenditure for this type of course with a similar number of participants are:</w:t>
      </w:r>
    </w:p>
    <w:p w14:paraId="1C4D01FA" w14:textId="77777777" w:rsidR="00221B29" w:rsidRDefault="00221B29" w:rsidP="00221B29"/>
    <w:p w14:paraId="5085B63A" w14:textId="77777777" w:rsidR="00B86A5E" w:rsidRDefault="00B86A5E" w:rsidP="00221B29"/>
    <w:p w14:paraId="474A5F94" w14:textId="77777777" w:rsidR="00B86A5E" w:rsidRPr="00221B29" w:rsidRDefault="00B86A5E" w:rsidP="00221B2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1358"/>
        <w:gridCol w:w="426"/>
        <w:gridCol w:w="2420"/>
        <w:gridCol w:w="1803"/>
      </w:tblGrid>
      <w:tr w:rsidR="00221B29" w:rsidRPr="00221B29" w14:paraId="6615D2C1" w14:textId="77777777">
        <w:tc>
          <w:tcPr>
            <w:tcW w:w="2422" w:type="pct"/>
            <w:gridSpan w:val="2"/>
            <w:shd w:val="clear" w:color="auto" w:fill="auto"/>
          </w:tcPr>
          <w:p w14:paraId="5151941C" w14:textId="77777777" w:rsidR="00221B29" w:rsidRPr="00221B29" w:rsidRDefault="00221B29" w:rsidP="00221B29">
            <w:pPr>
              <w:rPr>
                <w:b/>
              </w:rPr>
            </w:pPr>
            <w:r w:rsidRPr="00B86A5E">
              <w:rPr>
                <w:b/>
                <w:bCs/>
                <w:color w:val="4472C4" w:themeColor="accent1"/>
              </w:rPr>
              <w:t>Direct costs (in EUR)</w:t>
            </w:r>
          </w:p>
        </w:tc>
        <w:tc>
          <w:tcPr>
            <w:tcW w:w="236" w:type="pct"/>
            <w:tcBorders>
              <w:top w:val="nil"/>
              <w:bottom w:val="nil"/>
            </w:tcBorders>
            <w:shd w:val="clear" w:color="auto" w:fill="auto"/>
          </w:tcPr>
          <w:p w14:paraId="41ABCA2B" w14:textId="77777777" w:rsidR="00221B29" w:rsidRPr="00221B29" w:rsidRDefault="00221B29" w:rsidP="00221B29"/>
        </w:tc>
        <w:tc>
          <w:tcPr>
            <w:tcW w:w="2342" w:type="pct"/>
            <w:gridSpan w:val="2"/>
            <w:shd w:val="clear" w:color="auto" w:fill="auto"/>
          </w:tcPr>
          <w:p w14:paraId="76779ED9" w14:textId="77777777" w:rsidR="00221B29" w:rsidRPr="00221B29" w:rsidRDefault="00221B29" w:rsidP="00221B29">
            <w:pPr>
              <w:rPr>
                <w:b/>
              </w:rPr>
            </w:pPr>
            <w:r w:rsidRPr="00B86A5E">
              <w:rPr>
                <w:b/>
                <w:bCs/>
                <w:color w:val="4472C4" w:themeColor="accent1"/>
              </w:rPr>
              <w:t>Indirect costs (in EUR)</w:t>
            </w:r>
          </w:p>
        </w:tc>
      </w:tr>
      <w:tr w:rsidR="00221B29" w:rsidRPr="00221B29" w14:paraId="4356FD64" w14:textId="77777777">
        <w:trPr>
          <w:trHeight w:val="446"/>
        </w:trPr>
        <w:tc>
          <w:tcPr>
            <w:tcW w:w="1669" w:type="pct"/>
            <w:shd w:val="clear" w:color="auto" w:fill="auto"/>
          </w:tcPr>
          <w:p w14:paraId="6E4333EA" w14:textId="77777777" w:rsidR="00221B29" w:rsidRPr="00221B29" w:rsidRDefault="00221B29" w:rsidP="00221B29">
            <w:r w:rsidRPr="00221B29">
              <w:t>Trainer — remuneration</w:t>
            </w:r>
          </w:p>
        </w:tc>
        <w:tc>
          <w:tcPr>
            <w:tcW w:w="753" w:type="pct"/>
            <w:shd w:val="clear" w:color="auto" w:fill="auto"/>
          </w:tcPr>
          <w:p w14:paraId="232B973D" w14:textId="77777777" w:rsidR="00221B29" w:rsidRPr="00221B29" w:rsidRDefault="00221B29" w:rsidP="00221B29">
            <w:r w:rsidRPr="00221B29">
              <w:t>100 000</w:t>
            </w:r>
          </w:p>
        </w:tc>
        <w:tc>
          <w:tcPr>
            <w:tcW w:w="236" w:type="pct"/>
            <w:tcBorders>
              <w:top w:val="nil"/>
              <w:bottom w:val="nil"/>
            </w:tcBorders>
            <w:shd w:val="clear" w:color="auto" w:fill="auto"/>
          </w:tcPr>
          <w:p w14:paraId="5A55C31E" w14:textId="77777777" w:rsidR="00221B29" w:rsidRPr="00221B29" w:rsidRDefault="00221B29" w:rsidP="00221B29"/>
        </w:tc>
        <w:tc>
          <w:tcPr>
            <w:tcW w:w="1342" w:type="pct"/>
            <w:shd w:val="clear" w:color="auto" w:fill="auto"/>
          </w:tcPr>
          <w:p w14:paraId="272B4C70" w14:textId="77777777" w:rsidR="00221B29" w:rsidRPr="00221B29" w:rsidRDefault="00221B29" w:rsidP="00221B29">
            <w:r w:rsidRPr="00221B29">
              <w:t xml:space="preserve">Administrative costs </w:t>
            </w:r>
          </w:p>
        </w:tc>
        <w:tc>
          <w:tcPr>
            <w:tcW w:w="1000" w:type="pct"/>
            <w:shd w:val="clear" w:color="auto" w:fill="auto"/>
          </w:tcPr>
          <w:p w14:paraId="432025CD" w14:textId="77777777" w:rsidR="00221B29" w:rsidRPr="00221B29" w:rsidRDefault="00221B29" w:rsidP="00221B29">
            <w:r w:rsidRPr="00221B29">
              <w:t>17 500</w:t>
            </w:r>
          </w:p>
        </w:tc>
      </w:tr>
      <w:tr w:rsidR="00221B29" w:rsidRPr="00221B29" w14:paraId="640B1926" w14:textId="77777777">
        <w:trPr>
          <w:trHeight w:val="384"/>
        </w:trPr>
        <w:tc>
          <w:tcPr>
            <w:tcW w:w="1669" w:type="pct"/>
            <w:shd w:val="clear" w:color="auto" w:fill="auto"/>
          </w:tcPr>
          <w:p w14:paraId="7B43CFF3" w14:textId="77777777" w:rsidR="00221B29" w:rsidRPr="00221B29" w:rsidRDefault="00221B29" w:rsidP="00221B29">
            <w:r w:rsidRPr="00221B29">
              <w:t>Trainer — travel costs</w:t>
            </w:r>
          </w:p>
        </w:tc>
        <w:tc>
          <w:tcPr>
            <w:tcW w:w="753" w:type="pct"/>
            <w:shd w:val="clear" w:color="auto" w:fill="auto"/>
          </w:tcPr>
          <w:p w14:paraId="738D8952" w14:textId="77777777" w:rsidR="00221B29" w:rsidRPr="00221B29" w:rsidRDefault="00221B29" w:rsidP="00221B29">
            <w:r w:rsidRPr="00221B29">
              <w:t>10 000</w:t>
            </w:r>
          </w:p>
        </w:tc>
        <w:tc>
          <w:tcPr>
            <w:tcW w:w="236" w:type="pct"/>
            <w:tcBorders>
              <w:top w:val="nil"/>
              <w:bottom w:val="nil"/>
            </w:tcBorders>
            <w:shd w:val="clear" w:color="auto" w:fill="auto"/>
          </w:tcPr>
          <w:p w14:paraId="17DA0C4C" w14:textId="77777777" w:rsidR="00221B29" w:rsidRPr="00221B29" w:rsidRDefault="00221B29" w:rsidP="00221B29"/>
        </w:tc>
        <w:tc>
          <w:tcPr>
            <w:tcW w:w="1342" w:type="pct"/>
            <w:shd w:val="clear" w:color="auto" w:fill="auto"/>
          </w:tcPr>
          <w:p w14:paraId="23167CAE" w14:textId="77777777" w:rsidR="00221B29" w:rsidRPr="00221B29" w:rsidRDefault="00221B29" w:rsidP="00221B29">
            <w:r w:rsidRPr="00221B29">
              <w:t xml:space="preserve">Rent </w:t>
            </w:r>
          </w:p>
        </w:tc>
        <w:tc>
          <w:tcPr>
            <w:tcW w:w="1000" w:type="pct"/>
            <w:shd w:val="clear" w:color="auto" w:fill="auto"/>
          </w:tcPr>
          <w:p w14:paraId="30B9D41D" w14:textId="77777777" w:rsidR="00221B29" w:rsidRPr="00221B29" w:rsidRDefault="00221B29" w:rsidP="00221B29">
            <w:r w:rsidRPr="00221B29">
              <w:t>15 000</w:t>
            </w:r>
          </w:p>
        </w:tc>
      </w:tr>
      <w:tr w:rsidR="00221B29" w:rsidRPr="00221B29" w14:paraId="4B5C9B62" w14:textId="77777777">
        <w:tc>
          <w:tcPr>
            <w:tcW w:w="1669" w:type="pct"/>
            <w:shd w:val="clear" w:color="auto" w:fill="auto"/>
          </w:tcPr>
          <w:p w14:paraId="18D0C4FD" w14:textId="77777777" w:rsidR="00221B29" w:rsidRPr="00221B29" w:rsidRDefault="00221B29" w:rsidP="00221B29">
            <w:r w:rsidRPr="00221B29">
              <w:t>Trainees — remuneration</w:t>
            </w:r>
          </w:p>
        </w:tc>
        <w:tc>
          <w:tcPr>
            <w:tcW w:w="753" w:type="pct"/>
            <w:shd w:val="clear" w:color="auto" w:fill="auto"/>
          </w:tcPr>
          <w:p w14:paraId="1C21CCE5" w14:textId="77777777" w:rsidR="00221B29" w:rsidRPr="00221B29" w:rsidRDefault="00221B29" w:rsidP="00221B29">
            <w:r w:rsidRPr="00221B29">
              <w:t>140 000</w:t>
            </w:r>
          </w:p>
        </w:tc>
        <w:tc>
          <w:tcPr>
            <w:tcW w:w="236" w:type="pct"/>
            <w:tcBorders>
              <w:top w:val="nil"/>
              <w:bottom w:val="nil"/>
            </w:tcBorders>
            <w:shd w:val="clear" w:color="auto" w:fill="auto"/>
          </w:tcPr>
          <w:p w14:paraId="57BE1C65" w14:textId="77777777" w:rsidR="00221B29" w:rsidRPr="00221B29" w:rsidRDefault="00221B29" w:rsidP="00221B29"/>
        </w:tc>
        <w:tc>
          <w:tcPr>
            <w:tcW w:w="1342" w:type="pct"/>
            <w:tcBorders>
              <w:bottom w:val="single" w:sz="4" w:space="0" w:color="auto"/>
            </w:tcBorders>
            <w:shd w:val="clear" w:color="auto" w:fill="auto"/>
          </w:tcPr>
          <w:p w14:paraId="3354392A" w14:textId="77777777" w:rsidR="00221B29" w:rsidRPr="00221B29" w:rsidRDefault="00221B29" w:rsidP="00221B29">
            <w:r w:rsidRPr="00221B29">
              <w:t xml:space="preserve">Overheads                   </w:t>
            </w:r>
          </w:p>
        </w:tc>
        <w:tc>
          <w:tcPr>
            <w:tcW w:w="1000" w:type="pct"/>
            <w:tcBorders>
              <w:bottom w:val="single" w:sz="4" w:space="0" w:color="auto"/>
            </w:tcBorders>
            <w:shd w:val="clear" w:color="auto" w:fill="auto"/>
          </w:tcPr>
          <w:p w14:paraId="4121DE5E" w14:textId="77777777" w:rsidR="00221B29" w:rsidRPr="00221B29" w:rsidRDefault="00221B29" w:rsidP="00221B29">
            <w:r w:rsidRPr="00221B29">
              <w:t>12 500</w:t>
            </w:r>
          </w:p>
        </w:tc>
      </w:tr>
      <w:tr w:rsidR="00221B29" w:rsidRPr="00221B29" w14:paraId="68024912" w14:textId="77777777">
        <w:tc>
          <w:tcPr>
            <w:tcW w:w="1669" w:type="pct"/>
            <w:shd w:val="clear" w:color="auto" w:fill="auto"/>
          </w:tcPr>
          <w:p w14:paraId="3AC1D345" w14:textId="77777777" w:rsidR="00221B29" w:rsidRPr="00221B29" w:rsidRDefault="00221B29" w:rsidP="00221B29">
            <w:r w:rsidRPr="00221B29">
              <w:t xml:space="preserve">Trainees — accommodation         </w:t>
            </w:r>
          </w:p>
        </w:tc>
        <w:tc>
          <w:tcPr>
            <w:tcW w:w="753" w:type="pct"/>
            <w:shd w:val="clear" w:color="auto" w:fill="auto"/>
          </w:tcPr>
          <w:p w14:paraId="38D2E1A6" w14:textId="77777777" w:rsidR="00221B29" w:rsidRPr="00221B29" w:rsidRDefault="00221B29" w:rsidP="00221B29">
            <w:r w:rsidRPr="00221B29">
              <w:t>55 000</w:t>
            </w:r>
          </w:p>
        </w:tc>
        <w:tc>
          <w:tcPr>
            <w:tcW w:w="236" w:type="pct"/>
            <w:tcBorders>
              <w:top w:val="nil"/>
              <w:bottom w:val="nil"/>
            </w:tcBorders>
            <w:shd w:val="clear" w:color="auto" w:fill="auto"/>
          </w:tcPr>
          <w:p w14:paraId="0D276025" w14:textId="77777777" w:rsidR="00221B29" w:rsidRPr="00221B29" w:rsidRDefault="00221B29" w:rsidP="00221B29"/>
        </w:tc>
        <w:tc>
          <w:tcPr>
            <w:tcW w:w="1342" w:type="pct"/>
            <w:tcBorders>
              <w:bottom w:val="single" w:sz="4" w:space="0" w:color="auto"/>
            </w:tcBorders>
            <w:shd w:val="clear" w:color="auto" w:fill="auto"/>
          </w:tcPr>
          <w:p w14:paraId="3AA01FD1" w14:textId="77777777" w:rsidR="00221B29" w:rsidRPr="00221B29" w:rsidRDefault="00221B29" w:rsidP="00221B29">
            <w:r w:rsidRPr="00B86A5E">
              <w:rPr>
                <w:b/>
                <w:bCs/>
                <w:color w:val="4472C4" w:themeColor="accent1"/>
              </w:rPr>
              <w:t>Total indirect costs</w:t>
            </w:r>
            <w:r w:rsidRPr="00221B29">
              <w:t xml:space="preserve"> </w:t>
            </w:r>
          </w:p>
        </w:tc>
        <w:tc>
          <w:tcPr>
            <w:tcW w:w="1000" w:type="pct"/>
            <w:tcBorders>
              <w:bottom w:val="single" w:sz="4" w:space="0" w:color="auto"/>
            </w:tcBorders>
            <w:shd w:val="clear" w:color="auto" w:fill="auto"/>
          </w:tcPr>
          <w:p w14:paraId="2BF16D7E" w14:textId="77777777" w:rsidR="00221B29" w:rsidRPr="00221B29" w:rsidRDefault="00221B29" w:rsidP="00221B29">
            <w:r w:rsidRPr="00B86A5E">
              <w:rPr>
                <w:b/>
                <w:bCs/>
                <w:color w:val="4472C4" w:themeColor="accent1"/>
              </w:rPr>
              <w:t>45 000</w:t>
            </w:r>
          </w:p>
        </w:tc>
      </w:tr>
      <w:tr w:rsidR="00221B29" w:rsidRPr="00221B29" w14:paraId="3FE243CB" w14:textId="77777777">
        <w:tc>
          <w:tcPr>
            <w:tcW w:w="1669" w:type="pct"/>
            <w:shd w:val="clear" w:color="auto" w:fill="auto"/>
          </w:tcPr>
          <w:p w14:paraId="3ABA30A0" w14:textId="77777777" w:rsidR="00221B29" w:rsidRPr="00221B29" w:rsidRDefault="00221B29" w:rsidP="00221B29">
            <w:r w:rsidRPr="00221B29">
              <w:t xml:space="preserve">Trainees — travel costs    </w:t>
            </w:r>
          </w:p>
        </w:tc>
        <w:tc>
          <w:tcPr>
            <w:tcW w:w="753" w:type="pct"/>
            <w:shd w:val="clear" w:color="auto" w:fill="auto"/>
          </w:tcPr>
          <w:p w14:paraId="13E831FC" w14:textId="77777777" w:rsidR="00221B29" w:rsidRPr="00221B29" w:rsidRDefault="00221B29" w:rsidP="00221B29">
            <w:r w:rsidRPr="00221B29">
              <w:t>25 000</w:t>
            </w:r>
          </w:p>
        </w:tc>
        <w:tc>
          <w:tcPr>
            <w:tcW w:w="236" w:type="pct"/>
            <w:tcBorders>
              <w:top w:val="nil"/>
              <w:bottom w:val="nil"/>
              <w:right w:val="nil"/>
            </w:tcBorders>
            <w:shd w:val="clear" w:color="auto" w:fill="auto"/>
          </w:tcPr>
          <w:p w14:paraId="4DD24B71" w14:textId="77777777" w:rsidR="00221B29" w:rsidRPr="00221B29" w:rsidRDefault="00221B29" w:rsidP="00221B29"/>
        </w:tc>
        <w:tc>
          <w:tcPr>
            <w:tcW w:w="1342" w:type="pct"/>
            <w:tcBorders>
              <w:top w:val="single" w:sz="4" w:space="0" w:color="auto"/>
              <w:left w:val="nil"/>
              <w:bottom w:val="nil"/>
              <w:right w:val="nil"/>
            </w:tcBorders>
            <w:shd w:val="clear" w:color="auto" w:fill="auto"/>
          </w:tcPr>
          <w:p w14:paraId="17A4FF0D" w14:textId="77777777" w:rsidR="00221B29" w:rsidRPr="00221B29" w:rsidRDefault="00221B29" w:rsidP="00221B29">
            <w:pPr>
              <w:rPr>
                <w:b/>
              </w:rPr>
            </w:pPr>
          </w:p>
        </w:tc>
        <w:tc>
          <w:tcPr>
            <w:tcW w:w="1000" w:type="pct"/>
            <w:tcBorders>
              <w:top w:val="single" w:sz="4" w:space="0" w:color="auto"/>
              <w:left w:val="nil"/>
              <w:bottom w:val="nil"/>
              <w:right w:val="nil"/>
            </w:tcBorders>
            <w:shd w:val="clear" w:color="auto" w:fill="auto"/>
          </w:tcPr>
          <w:p w14:paraId="2FD956C3" w14:textId="77777777" w:rsidR="00221B29" w:rsidRPr="00221B29" w:rsidRDefault="00221B29" w:rsidP="00221B29">
            <w:pPr>
              <w:rPr>
                <w:b/>
              </w:rPr>
            </w:pPr>
          </w:p>
        </w:tc>
      </w:tr>
      <w:tr w:rsidR="00221B29" w:rsidRPr="00221B29" w14:paraId="2AEF2EAC" w14:textId="77777777">
        <w:tc>
          <w:tcPr>
            <w:tcW w:w="1669" w:type="pct"/>
            <w:shd w:val="clear" w:color="auto" w:fill="auto"/>
          </w:tcPr>
          <w:p w14:paraId="664F8B20" w14:textId="77777777" w:rsidR="00221B29" w:rsidRPr="00221B29" w:rsidRDefault="00221B29" w:rsidP="00221B29">
            <w:r w:rsidRPr="00221B29">
              <w:t xml:space="preserve">Non-depreciable consumption goods        </w:t>
            </w:r>
          </w:p>
        </w:tc>
        <w:tc>
          <w:tcPr>
            <w:tcW w:w="753" w:type="pct"/>
            <w:shd w:val="clear" w:color="auto" w:fill="auto"/>
          </w:tcPr>
          <w:p w14:paraId="1499364D" w14:textId="77777777" w:rsidR="00221B29" w:rsidRPr="00221B29" w:rsidRDefault="00221B29" w:rsidP="00221B29">
            <w:r w:rsidRPr="00221B29">
              <w:t>5 000</w:t>
            </w:r>
          </w:p>
        </w:tc>
        <w:tc>
          <w:tcPr>
            <w:tcW w:w="236" w:type="pct"/>
            <w:tcBorders>
              <w:top w:val="nil"/>
              <w:bottom w:val="nil"/>
              <w:right w:val="nil"/>
            </w:tcBorders>
            <w:shd w:val="clear" w:color="auto" w:fill="auto"/>
          </w:tcPr>
          <w:p w14:paraId="54C4DC1F" w14:textId="77777777" w:rsidR="00221B29" w:rsidRPr="00221B29" w:rsidRDefault="00221B29" w:rsidP="00221B29"/>
        </w:tc>
        <w:tc>
          <w:tcPr>
            <w:tcW w:w="1342" w:type="pct"/>
            <w:tcBorders>
              <w:top w:val="nil"/>
              <w:left w:val="nil"/>
              <w:bottom w:val="nil"/>
              <w:right w:val="nil"/>
            </w:tcBorders>
            <w:shd w:val="clear" w:color="auto" w:fill="auto"/>
          </w:tcPr>
          <w:p w14:paraId="1F3D7B4A" w14:textId="77777777" w:rsidR="00221B29" w:rsidRPr="00221B29" w:rsidRDefault="00221B29" w:rsidP="00221B29"/>
        </w:tc>
        <w:tc>
          <w:tcPr>
            <w:tcW w:w="1000" w:type="pct"/>
            <w:tcBorders>
              <w:top w:val="nil"/>
              <w:left w:val="nil"/>
              <w:bottom w:val="nil"/>
              <w:right w:val="nil"/>
            </w:tcBorders>
            <w:shd w:val="clear" w:color="auto" w:fill="auto"/>
          </w:tcPr>
          <w:p w14:paraId="14AF7A30" w14:textId="77777777" w:rsidR="00221B29" w:rsidRPr="00221B29" w:rsidRDefault="00221B29" w:rsidP="00221B29"/>
        </w:tc>
      </w:tr>
      <w:tr w:rsidR="00221B29" w:rsidRPr="00221B29" w14:paraId="5674F41B" w14:textId="77777777">
        <w:tc>
          <w:tcPr>
            <w:tcW w:w="1669" w:type="pct"/>
            <w:shd w:val="clear" w:color="auto" w:fill="auto"/>
          </w:tcPr>
          <w:p w14:paraId="34DE4EE8" w14:textId="77777777" w:rsidR="00221B29" w:rsidRPr="00221B29" w:rsidRDefault="00221B29" w:rsidP="00221B29">
            <w:r w:rsidRPr="00221B29">
              <w:t>Publicity</w:t>
            </w:r>
          </w:p>
        </w:tc>
        <w:tc>
          <w:tcPr>
            <w:tcW w:w="753" w:type="pct"/>
            <w:shd w:val="clear" w:color="auto" w:fill="auto"/>
          </w:tcPr>
          <w:p w14:paraId="4F85ECA0" w14:textId="77777777" w:rsidR="00221B29" w:rsidRPr="00221B29" w:rsidRDefault="00221B29" w:rsidP="00221B29">
            <w:r w:rsidRPr="00221B29">
              <w:t>2 000</w:t>
            </w:r>
          </w:p>
        </w:tc>
        <w:tc>
          <w:tcPr>
            <w:tcW w:w="236" w:type="pct"/>
            <w:tcBorders>
              <w:top w:val="nil"/>
              <w:bottom w:val="nil"/>
              <w:right w:val="nil"/>
            </w:tcBorders>
            <w:shd w:val="clear" w:color="auto" w:fill="auto"/>
          </w:tcPr>
          <w:p w14:paraId="5FD3A7DD" w14:textId="77777777" w:rsidR="00221B29" w:rsidRPr="00221B29" w:rsidRDefault="00221B29" w:rsidP="00221B29"/>
        </w:tc>
        <w:tc>
          <w:tcPr>
            <w:tcW w:w="1342" w:type="pct"/>
            <w:tcBorders>
              <w:top w:val="nil"/>
              <w:left w:val="nil"/>
              <w:bottom w:val="nil"/>
              <w:right w:val="nil"/>
            </w:tcBorders>
            <w:shd w:val="clear" w:color="auto" w:fill="auto"/>
          </w:tcPr>
          <w:p w14:paraId="55DBBF25" w14:textId="77777777" w:rsidR="00221B29" w:rsidRPr="00221B29" w:rsidRDefault="00221B29" w:rsidP="00221B29"/>
        </w:tc>
        <w:tc>
          <w:tcPr>
            <w:tcW w:w="1000" w:type="pct"/>
            <w:tcBorders>
              <w:top w:val="nil"/>
              <w:left w:val="nil"/>
              <w:bottom w:val="nil"/>
              <w:right w:val="nil"/>
            </w:tcBorders>
            <w:shd w:val="clear" w:color="auto" w:fill="auto"/>
          </w:tcPr>
          <w:p w14:paraId="6A40E3ED" w14:textId="77777777" w:rsidR="00221B29" w:rsidRPr="00221B29" w:rsidRDefault="00221B29" w:rsidP="00221B29"/>
        </w:tc>
      </w:tr>
      <w:tr w:rsidR="00221B29" w:rsidRPr="00221B29" w14:paraId="6CA713EF" w14:textId="77777777">
        <w:tc>
          <w:tcPr>
            <w:tcW w:w="1669" w:type="pct"/>
            <w:shd w:val="clear" w:color="auto" w:fill="auto"/>
          </w:tcPr>
          <w:p w14:paraId="5FC5970F" w14:textId="77777777" w:rsidR="00221B29" w:rsidRPr="00221B29" w:rsidRDefault="00221B29" w:rsidP="00221B29">
            <w:r w:rsidRPr="00221B29">
              <w:t xml:space="preserve">Organisation costs         </w:t>
            </w:r>
          </w:p>
        </w:tc>
        <w:tc>
          <w:tcPr>
            <w:tcW w:w="753" w:type="pct"/>
            <w:shd w:val="clear" w:color="auto" w:fill="auto"/>
          </w:tcPr>
          <w:p w14:paraId="3A40FFD4" w14:textId="77777777" w:rsidR="00221B29" w:rsidRPr="00221B29" w:rsidRDefault="00221B29" w:rsidP="00221B29">
            <w:r w:rsidRPr="00221B29">
              <w:t>5 000</w:t>
            </w:r>
          </w:p>
        </w:tc>
        <w:tc>
          <w:tcPr>
            <w:tcW w:w="236" w:type="pct"/>
            <w:tcBorders>
              <w:top w:val="nil"/>
              <w:bottom w:val="nil"/>
              <w:right w:val="nil"/>
            </w:tcBorders>
            <w:shd w:val="clear" w:color="auto" w:fill="auto"/>
          </w:tcPr>
          <w:p w14:paraId="6AA338A3" w14:textId="77777777" w:rsidR="00221B29" w:rsidRPr="00221B29" w:rsidRDefault="00221B29" w:rsidP="00221B29"/>
        </w:tc>
        <w:tc>
          <w:tcPr>
            <w:tcW w:w="1342" w:type="pct"/>
            <w:tcBorders>
              <w:top w:val="nil"/>
              <w:left w:val="nil"/>
              <w:bottom w:val="nil"/>
              <w:right w:val="nil"/>
            </w:tcBorders>
            <w:shd w:val="clear" w:color="auto" w:fill="auto"/>
          </w:tcPr>
          <w:p w14:paraId="12C0B024" w14:textId="77777777" w:rsidR="00221B29" w:rsidRPr="00221B29" w:rsidRDefault="00221B29" w:rsidP="00221B29"/>
        </w:tc>
        <w:tc>
          <w:tcPr>
            <w:tcW w:w="1000" w:type="pct"/>
            <w:tcBorders>
              <w:top w:val="nil"/>
              <w:left w:val="nil"/>
              <w:bottom w:val="nil"/>
              <w:right w:val="nil"/>
            </w:tcBorders>
            <w:shd w:val="clear" w:color="auto" w:fill="auto"/>
          </w:tcPr>
          <w:p w14:paraId="05321047" w14:textId="77777777" w:rsidR="00221B29" w:rsidRPr="00221B29" w:rsidRDefault="00221B29" w:rsidP="00221B29"/>
        </w:tc>
      </w:tr>
      <w:tr w:rsidR="00221B29" w:rsidRPr="00221B29" w14:paraId="6FFD4622" w14:textId="77777777">
        <w:tc>
          <w:tcPr>
            <w:tcW w:w="1669" w:type="pct"/>
            <w:shd w:val="clear" w:color="auto" w:fill="auto"/>
          </w:tcPr>
          <w:p w14:paraId="60B4B51A" w14:textId="77777777" w:rsidR="00221B29" w:rsidRPr="00221B29" w:rsidRDefault="00221B29" w:rsidP="00221B29">
            <w:pPr>
              <w:rPr>
                <w:b/>
              </w:rPr>
            </w:pPr>
            <w:r w:rsidRPr="00B86A5E">
              <w:rPr>
                <w:b/>
                <w:bCs/>
                <w:color w:val="4472C4" w:themeColor="accent1"/>
              </w:rPr>
              <w:t>Total direct costs</w:t>
            </w:r>
          </w:p>
        </w:tc>
        <w:tc>
          <w:tcPr>
            <w:tcW w:w="753" w:type="pct"/>
            <w:shd w:val="clear" w:color="auto" w:fill="auto"/>
          </w:tcPr>
          <w:p w14:paraId="0F949B43" w14:textId="77777777" w:rsidR="00221B29" w:rsidRPr="00221B29" w:rsidRDefault="00221B29" w:rsidP="00221B29">
            <w:pPr>
              <w:rPr>
                <w:b/>
              </w:rPr>
            </w:pPr>
            <w:r w:rsidRPr="00B86A5E">
              <w:rPr>
                <w:b/>
                <w:bCs/>
                <w:color w:val="4472C4" w:themeColor="accent1"/>
              </w:rPr>
              <w:t>342 000</w:t>
            </w:r>
          </w:p>
        </w:tc>
        <w:tc>
          <w:tcPr>
            <w:tcW w:w="236" w:type="pct"/>
            <w:tcBorders>
              <w:top w:val="nil"/>
              <w:bottom w:val="nil"/>
              <w:right w:val="nil"/>
            </w:tcBorders>
            <w:shd w:val="clear" w:color="auto" w:fill="auto"/>
          </w:tcPr>
          <w:p w14:paraId="531513A2" w14:textId="77777777" w:rsidR="00221B29" w:rsidRPr="00221B29" w:rsidRDefault="00221B29" w:rsidP="00221B29">
            <w:pPr>
              <w:rPr>
                <w:b/>
              </w:rPr>
            </w:pPr>
          </w:p>
        </w:tc>
        <w:tc>
          <w:tcPr>
            <w:tcW w:w="1342" w:type="pct"/>
            <w:tcBorders>
              <w:top w:val="nil"/>
              <w:left w:val="nil"/>
              <w:bottom w:val="nil"/>
              <w:right w:val="nil"/>
            </w:tcBorders>
            <w:shd w:val="clear" w:color="auto" w:fill="auto"/>
          </w:tcPr>
          <w:p w14:paraId="6A9F13D4" w14:textId="77777777" w:rsidR="00221B29" w:rsidRPr="00221B29" w:rsidRDefault="00221B29" w:rsidP="00221B29">
            <w:pPr>
              <w:rPr>
                <w:b/>
              </w:rPr>
            </w:pPr>
          </w:p>
        </w:tc>
        <w:tc>
          <w:tcPr>
            <w:tcW w:w="1000" w:type="pct"/>
            <w:tcBorders>
              <w:top w:val="nil"/>
              <w:left w:val="nil"/>
              <w:bottom w:val="nil"/>
              <w:right w:val="nil"/>
            </w:tcBorders>
            <w:shd w:val="clear" w:color="auto" w:fill="auto"/>
          </w:tcPr>
          <w:p w14:paraId="73C88E05" w14:textId="77777777" w:rsidR="00221B29" w:rsidRPr="00221B29" w:rsidRDefault="00221B29" w:rsidP="00221B29">
            <w:pPr>
              <w:rPr>
                <w:b/>
              </w:rPr>
            </w:pPr>
          </w:p>
        </w:tc>
      </w:tr>
    </w:tbl>
    <w:p w14:paraId="62786AFA" w14:textId="77777777" w:rsidR="00221B29" w:rsidRPr="00221B29" w:rsidRDefault="00221B29" w:rsidP="00221B29"/>
    <w:p w14:paraId="40ACF6ED" w14:textId="4671E671" w:rsidR="00221B29" w:rsidRPr="00221B29" w:rsidRDefault="00221B29" w:rsidP="00221B29">
      <w:r w:rsidRPr="00221B29">
        <w:t>When processing the data, the managing authority takes out all non-eligible costs.</w:t>
      </w:r>
    </w:p>
    <w:p w14:paraId="4689B079" w14:textId="77777777" w:rsidR="00221B29" w:rsidRPr="00221B29" w:rsidRDefault="00221B29" w:rsidP="00221B29">
      <w:r w:rsidRPr="00221B29">
        <w:t>The calculation is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221B29" w:rsidRPr="00221B29" w14:paraId="2143962E" w14:textId="77777777">
        <w:tc>
          <w:tcPr>
            <w:tcW w:w="2500" w:type="pct"/>
            <w:shd w:val="clear" w:color="auto" w:fill="auto"/>
          </w:tcPr>
          <w:p w14:paraId="2B43EBA6" w14:textId="77777777" w:rsidR="00221B29" w:rsidRPr="00B86A5E" w:rsidRDefault="00221B29" w:rsidP="00221B29">
            <w:pPr>
              <w:rPr>
                <w:b/>
                <w:bCs/>
                <w:color w:val="4472C4" w:themeColor="accent1"/>
              </w:rPr>
            </w:pPr>
            <w:r w:rsidRPr="00B86A5E">
              <w:rPr>
                <w:b/>
                <w:bCs/>
                <w:color w:val="4472C4" w:themeColor="accent1"/>
              </w:rPr>
              <w:t>Total eligible costs of the training</w:t>
            </w:r>
          </w:p>
          <w:p w14:paraId="67B4030A" w14:textId="77777777" w:rsidR="00221B29" w:rsidRPr="00221B29" w:rsidRDefault="00221B29" w:rsidP="00221B29">
            <w:r w:rsidRPr="00221B29">
              <w:t>(</w:t>
            </w:r>
            <w:proofErr w:type="gramStart"/>
            <w:r w:rsidRPr="00221B29">
              <w:t>total</w:t>
            </w:r>
            <w:proofErr w:type="gramEnd"/>
            <w:r w:rsidRPr="00221B29">
              <w:t xml:space="preserve"> costs – ineligible costs)</w:t>
            </w:r>
          </w:p>
        </w:tc>
        <w:tc>
          <w:tcPr>
            <w:tcW w:w="2500" w:type="pct"/>
            <w:shd w:val="clear" w:color="auto" w:fill="auto"/>
          </w:tcPr>
          <w:p w14:paraId="7FE57843" w14:textId="77777777" w:rsidR="00221B29" w:rsidRPr="00221B29" w:rsidRDefault="00221B29" w:rsidP="00221B29">
            <w:pPr>
              <w:rPr>
                <w:lang w:val="en-IE"/>
              </w:rPr>
            </w:pPr>
            <w:r w:rsidRPr="00221B29">
              <w:rPr>
                <w:lang w:val="en-IE"/>
              </w:rPr>
              <w:t>EUR 387 000 – 0 = EUR 387 000</w:t>
            </w:r>
          </w:p>
        </w:tc>
      </w:tr>
      <w:tr w:rsidR="00221B29" w:rsidRPr="00221B29" w14:paraId="0C6A22A5" w14:textId="77777777">
        <w:tc>
          <w:tcPr>
            <w:tcW w:w="2500" w:type="pct"/>
            <w:shd w:val="clear" w:color="auto" w:fill="auto"/>
          </w:tcPr>
          <w:p w14:paraId="38E535A8" w14:textId="77777777" w:rsidR="00221B29" w:rsidRPr="00221B29" w:rsidRDefault="00221B29" w:rsidP="00221B29">
            <w:pPr>
              <w:rPr>
                <w:b/>
              </w:rPr>
            </w:pPr>
            <w:r w:rsidRPr="00B86A5E">
              <w:rPr>
                <w:b/>
                <w:bCs/>
                <w:color w:val="4472C4" w:themeColor="accent1"/>
              </w:rPr>
              <w:t>Expected number of participants completing the training</w:t>
            </w:r>
          </w:p>
        </w:tc>
        <w:tc>
          <w:tcPr>
            <w:tcW w:w="2500" w:type="pct"/>
            <w:shd w:val="clear" w:color="auto" w:fill="auto"/>
          </w:tcPr>
          <w:p w14:paraId="4C484ACB" w14:textId="77777777" w:rsidR="00221B29" w:rsidRPr="00221B29" w:rsidRDefault="00221B29" w:rsidP="00221B29">
            <w:r w:rsidRPr="00221B29">
              <w:t>300</w:t>
            </w:r>
          </w:p>
        </w:tc>
      </w:tr>
      <w:tr w:rsidR="00221B29" w:rsidRPr="00221B29" w14:paraId="113473F5" w14:textId="77777777">
        <w:tc>
          <w:tcPr>
            <w:tcW w:w="2500" w:type="pct"/>
            <w:shd w:val="clear" w:color="auto" w:fill="auto"/>
          </w:tcPr>
          <w:p w14:paraId="5EBFBFB3" w14:textId="77777777" w:rsidR="00221B29" w:rsidRPr="00221B29" w:rsidRDefault="00221B29" w:rsidP="00221B29">
            <w:pPr>
              <w:rPr>
                <w:b/>
              </w:rPr>
            </w:pPr>
            <w:r w:rsidRPr="00B86A5E">
              <w:rPr>
                <w:b/>
                <w:bCs/>
                <w:color w:val="4472C4" w:themeColor="accent1"/>
              </w:rPr>
              <w:t>Costs per participant completing the training (standard scale of unit cost)</w:t>
            </w:r>
          </w:p>
        </w:tc>
        <w:tc>
          <w:tcPr>
            <w:tcW w:w="2500" w:type="pct"/>
            <w:shd w:val="clear" w:color="auto" w:fill="auto"/>
          </w:tcPr>
          <w:p w14:paraId="7D2A12DC" w14:textId="77777777" w:rsidR="00221B29" w:rsidRPr="00221B29" w:rsidRDefault="00221B29" w:rsidP="00221B29">
            <w:pPr>
              <w:rPr>
                <w:lang w:val="fr-BE"/>
              </w:rPr>
            </w:pPr>
            <w:r w:rsidRPr="00221B29">
              <w:rPr>
                <w:lang w:val="fr-BE"/>
              </w:rPr>
              <w:t xml:space="preserve">EUR 387 000 / 300 participants = </w:t>
            </w:r>
          </w:p>
          <w:p w14:paraId="52228425" w14:textId="77777777" w:rsidR="00221B29" w:rsidRPr="00221B29" w:rsidRDefault="00221B29" w:rsidP="00221B29">
            <w:pPr>
              <w:rPr>
                <w:lang w:val="fr-BE"/>
              </w:rPr>
            </w:pPr>
            <w:r w:rsidRPr="00221B29">
              <w:rPr>
                <w:lang w:val="fr-BE"/>
              </w:rPr>
              <w:t>EUR 1 290 / participant</w:t>
            </w:r>
          </w:p>
        </w:tc>
      </w:tr>
    </w:tbl>
    <w:p w14:paraId="245142CA" w14:textId="77777777" w:rsidR="00221B29" w:rsidRPr="00221B29" w:rsidRDefault="00221B29" w:rsidP="00221B29">
      <w:pPr>
        <w:rPr>
          <w:lang w:val="fr-BE"/>
        </w:rPr>
      </w:pPr>
    </w:p>
    <w:p w14:paraId="5C7C0F7B" w14:textId="77777777" w:rsidR="00221B29" w:rsidRPr="00221B29" w:rsidRDefault="00221B29" w:rsidP="00221B29">
      <w:r w:rsidRPr="00221B29">
        <w:t>The provisional funding of the training project is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221B29" w:rsidRPr="00221B29" w14:paraId="6188875A" w14:textId="77777777">
        <w:tc>
          <w:tcPr>
            <w:tcW w:w="2500" w:type="pct"/>
            <w:shd w:val="clear" w:color="auto" w:fill="auto"/>
          </w:tcPr>
          <w:p w14:paraId="1E6AC232" w14:textId="77777777" w:rsidR="00221B29" w:rsidRPr="00221B29" w:rsidRDefault="00221B29" w:rsidP="00221B29">
            <w:pPr>
              <w:rPr>
                <w:b/>
              </w:rPr>
            </w:pPr>
            <w:r w:rsidRPr="00B86A5E">
              <w:rPr>
                <w:b/>
                <w:bCs/>
                <w:color w:val="4472C4" w:themeColor="accent1"/>
              </w:rPr>
              <w:t>Public funding (national + ESF)</w:t>
            </w:r>
          </w:p>
        </w:tc>
        <w:tc>
          <w:tcPr>
            <w:tcW w:w="2500" w:type="pct"/>
            <w:shd w:val="clear" w:color="auto" w:fill="auto"/>
          </w:tcPr>
          <w:p w14:paraId="00A8A9D9" w14:textId="77777777" w:rsidR="00221B29" w:rsidRPr="00221B29" w:rsidRDefault="00221B29" w:rsidP="00221B29">
            <w:r w:rsidRPr="00221B29">
              <w:t>EUR 193 500</w:t>
            </w:r>
          </w:p>
        </w:tc>
      </w:tr>
      <w:tr w:rsidR="00221B29" w:rsidRPr="00221B29" w14:paraId="103B06F3" w14:textId="77777777">
        <w:tc>
          <w:tcPr>
            <w:tcW w:w="2500" w:type="pct"/>
            <w:shd w:val="clear" w:color="auto" w:fill="auto"/>
          </w:tcPr>
          <w:p w14:paraId="4DBD7744" w14:textId="77777777" w:rsidR="00221B29" w:rsidRPr="00221B29" w:rsidRDefault="00221B29" w:rsidP="00221B29">
            <w:pPr>
              <w:rPr>
                <w:b/>
              </w:rPr>
            </w:pPr>
            <w:r w:rsidRPr="00B86A5E">
              <w:rPr>
                <w:b/>
                <w:bCs/>
                <w:color w:val="4472C4" w:themeColor="accent1"/>
              </w:rPr>
              <w:t>Private funding (self-financing)</w:t>
            </w:r>
          </w:p>
        </w:tc>
        <w:tc>
          <w:tcPr>
            <w:tcW w:w="2500" w:type="pct"/>
            <w:shd w:val="clear" w:color="auto" w:fill="auto"/>
          </w:tcPr>
          <w:p w14:paraId="78953C66" w14:textId="77777777" w:rsidR="00221B29" w:rsidRPr="00221B29" w:rsidRDefault="00221B29" w:rsidP="00221B29">
            <w:r w:rsidRPr="00221B29">
              <w:t>EUR 193 500</w:t>
            </w:r>
          </w:p>
        </w:tc>
      </w:tr>
      <w:tr w:rsidR="00221B29" w:rsidRPr="00221B29" w14:paraId="77665F28" w14:textId="77777777">
        <w:tc>
          <w:tcPr>
            <w:tcW w:w="2500" w:type="pct"/>
            <w:shd w:val="clear" w:color="auto" w:fill="auto"/>
          </w:tcPr>
          <w:p w14:paraId="43864F5A" w14:textId="77777777" w:rsidR="00221B29" w:rsidRPr="00221B29" w:rsidRDefault="00221B29" w:rsidP="00221B29">
            <w:pPr>
              <w:rPr>
                <w:b/>
              </w:rPr>
            </w:pPr>
            <w:r w:rsidRPr="00B86A5E">
              <w:rPr>
                <w:b/>
                <w:bCs/>
                <w:color w:val="4472C4" w:themeColor="accent1"/>
              </w:rPr>
              <w:t>Intensity of state aid</w:t>
            </w:r>
          </w:p>
        </w:tc>
        <w:tc>
          <w:tcPr>
            <w:tcW w:w="2500" w:type="pct"/>
            <w:shd w:val="clear" w:color="auto" w:fill="auto"/>
          </w:tcPr>
          <w:p w14:paraId="129EF695" w14:textId="77777777" w:rsidR="00221B29" w:rsidRPr="00221B29" w:rsidRDefault="00221B29" w:rsidP="00221B29">
            <w:r w:rsidRPr="00221B29">
              <w:t xml:space="preserve">50% </w:t>
            </w:r>
          </w:p>
        </w:tc>
      </w:tr>
    </w:tbl>
    <w:p w14:paraId="2D5D881B" w14:textId="77777777" w:rsidR="00221B29" w:rsidRPr="00221B29" w:rsidRDefault="00221B29" w:rsidP="00221B29"/>
    <w:p w14:paraId="783B2FF9" w14:textId="77777777" w:rsidR="00221B29" w:rsidRPr="00221B29" w:rsidRDefault="00221B29" w:rsidP="00221B29">
      <w:r w:rsidRPr="00221B29">
        <w:t xml:space="preserve">Article 31(4) GBER limits the aid intensity to 50 % of the eligible costs (as set out in the document setting out the condition for support). The provisional budget is in line with this requirement. </w:t>
      </w:r>
    </w:p>
    <w:tbl>
      <w:tblPr>
        <w:tblpPr w:leftFromText="180" w:rightFromText="180" w:vertAnchor="text" w:horzAnchor="margin" w:tblpY="9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221B29" w:rsidRPr="00221B29" w14:paraId="31CB1F4A" w14:textId="77777777">
        <w:tc>
          <w:tcPr>
            <w:tcW w:w="2500" w:type="pct"/>
            <w:shd w:val="clear" w:color="auto" w:fill="auto"/>
          </w:tcPr>
          <w:p w14:paraId="11AC5E31" w14:textId="77777777" w:rsidR="00221B29" w:rsidRPr="00221B29" w:rsidRDefault="00221B29" w:rsidP="00221B29">
            <w:pPr>
              <w:rPr>
                <w:b/>
              </w:rPr>
            </w:pPr>
            <w:r w:rsidRPr="00B86A5E">
              <w:rPr>
                <w:b/>
                <w:bCs/>
                <w:color w:val="4472C4" w:themeColor="accent1"/>
              </w:rPr>
              <w:t>Total eligible costs to be declared to the Commission</w:t>
            </w:r>
          </w:p>
        </w:tc>
        <w:tc>
          <w:tcPr>
            <w:tcW w:w="2500" w:type="pct"/>
            <w:shd w:val="clear" w:color="auto" w:fill="auto"/>
          </w:tcPr>
          <w:p w14:paraId="1CA645A9" w14:textId="77777777" w:rsidR="00221B29" w:rsidRPr="00221B29" w:rsidRDefault="00221B29" w:rsidP="00221B29">
            <w:r w:rsidRPr="00221B29">
              <w:t>EUR 1 290 x 200 = EUR 258 000</w:t>
            </w:r>
          </w:p>
        </w:tc>
      </w:tr>
      <w:tr w:rsidR="00221B29" w:rsidRPr="00221B29" w14:paraId="611AEF07" w14:textId="77777777">
        <w:tc>
          <w:tcPr>
            <w:tcW w:w="2500" w:type="pct"/>
            <w:shd w:val="clear" w:color="auto" w:fill="auto"/>
          </w:tcPr>
          <w:p w14:paraId="587C2AE1" w14:textId="77777777" w:rsidR="00221B29" w:rsidRPr="00221B29" w:rsidRDefault="00221B29" w:rsidP="00221B29">
            <w:pPr>
              <w:rPr>
                <w:b/>
                <w:bCs/>
              </w:rPr>
            </w:pPr>
            <w:r w:rsidRPr="00B86A5E">
              <w:rPr>
                <w:b/>
                <w:bCs/>
                <w:color w:val="4472C4" w:themeColor="accent1"/>
              </w:rPr>
              <w:t>Public funding (national + ESF+)</w:t>
            </w:r>
          </w:p>
        </w:tc>
        <w:tc>
          <w:tcPr>
            <w:tcW w:w="2500" w:type="pct"/>
            <w:shd w:val="clear" w:color="auto" w:fill="auto"/>
          </w:tcPr>
          <w:p w14:paraId="2E85E124" w14:textId="77777777" w:rsidR="00221B29" w:rsidRPr="00221B29" w:rsidRDefault="00221B29" w:rsidP="00221B29">
            <w:r w:rsidRPr="00221B29">
              <w:t>EUR 129 000</w:t>
            </w:r>
          </w:p>
        </w:tc>
      </w:tr>
      <w:tr w:rsidR="00221B29" w:rsidRPr="00221B29" w14:paraId="3FEEDC51" w14:textId="77777777">
        <w:tc>
          <w:tcPr>
            <w:tcW w:w="2500" w:type="pct"/>
            <w:shd w:val="clear" w:color="auto" w:fill="auto"/>
          </w:tcPr>
          <w:p w14:paraId="6150CE49" w14:textId="77777777" w:rsidR="00221B29" w:rsidRPr="00221B29" w:rsidRDefault="00221B29" w:rsidP="00221B29">
            <w:pPr>
              <w:rPr>
                <w:b/>
              </w:rPr>
            </w:pPr>
            <w:r w:rsidRPr="00B86A5E">
              <w:rPr>
                <w:b/>
                <w:bCs/>
                <w:color w:val="4472C4" w:themeColor="accent1"/>
              </w:rPr>
              <w:t>Private funding (self-financing)</w:t>
            </w:r>
          </w:p>
        </w:tc>
        <w:tc>
          <w:tcPr>
            <w:tcW w:w="2500" w:type="pct"/>
            <w:shd w:val="clear" w:color="auto" w:fill="auto"/>
          </w:tcPr>
          <w:p w14:paraId="7406B230" w14:textId="77777777" w:rsidR="00221B29" w:rsidRPr="00221B29" w:rsidRDefault="00221B29" w:rsidP="00221B29">
            <w:r w:rsidRPr="00221B29">
              <w:t>EUR 129 000</w:t>
            </w:r>
          </w:p>
        </w:tc>
      </w:tr>
      <w:tr w:rsidR="00221B29" w:rsidRPr="00221B29" w14:paraId="074A77A2" w14:textId="77777777">
        <w:tc>
          <w:tcPr>
            <w:tcW w:w="2500" w:type="pct"/>
            <w:shd w:val="clear" w:color="auto" w:fill="auto"/>
          </w:tcPr>
          <w:p w14:paraId="4986D316" w14:textId="77777777" w:rsidR="00221B29" w:rsidRPr="00221B29" w:rsidRDefault="00221B29" w:rsidP="00221B29">
            <w:pPr>
              <w:rPr>
                <w:b/>
                <w:bCs/>
              </w:rPr>
            </w:pPr>
            <w:r w:rsidRPr="00B86A5E">
              <w:rPr>
                <w:b/>
                <w:bCs/>
                <w:color w:val="4472C4" w:themeColor="accent1"/>
              </w:rPr>
              <w:t>Intensity of State aid</w:t>
            </w:r>
          </w:p>
        </w:tc>
        <w:tc>
          <w:tcPr>
            <w:tcW w:w="2500" w:type="pct"/>
            <w:shd w:val="clear" w:color="auto" w:fill="auto"/>
          </w:tcPr>
          <w:p w14:paraId="545CCDA8" w14:textId="77777777" w:rsidR="00221B29" w:rsidRPr="00221B29" w:rsidRDefault="00221B29" w:rsidP="00221B29">
            <w:r w:rsidRPr="00221B29">
              <w:t>50%</w:t>
            </w:r>
          </w:p>
        </w:tc>
      </w:tr>
    </w:tbl>
    <w:p w14:paraId="4EDC2DE9" w14:textId="1DBAFC14" w:rsidR="00221B29" w:rsidRPr="00221B29" w:rsidRDefault="00221B29" w:rsidP="00221B29">
      <w:r w:rsidRPr="00221B29">
        <w:t>After implementation of the project, the eligible costs will be based on the real number of participants completing the training. If only 200 participants complete the training, the</w:t>
      </w:r>
      <w:r>
        <w:t xml:space="preserve"> </w:t>
      </w:r>
      <w:r w:rsidRPr="00221B29">
        <w:t>aid will be as follows:</w:t>
      </w:r>
    </w:p>
    <w:p w14:paraId="5EC29C54" w14:textId="77777777" w:rsidR="00EB0ABF" w:rsidRPr="00EB0ABF" w:rsidRDefault="00EB0ABF" w:rsidP="00B32403"/>
    <w:sectPr w:rsidR="00EB0ABF" w:rsidRPr="00EB0ABF" w:rsidSect="00F11066">
      <w:footerReference w:type="default" r:id="rId3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8C9F3" w14:textId="77777777" w:rsidR="000E7309" w:rsidRDefault="000E7309" w:rsidP="00B32403">
      <w:r>
        <w:separator/>
      </w:r>
    </w:p>
  </w:endnote>
  <w:endnote w:type="continuationSeparator" w:id="0">
    <w:p w14:paraId="51047D67" w14:textId="77777777" w:rsidR="000E7309" w:rsidRDefault="000E7309" w:rsidP="00B32403">
      <w:r>
        <w:continuationSeparator/>
      </w:r>
    </w:p>
  </w:endnote>
  <w:endnote w:type="continuationNotice" w:id="1">
    <w:p w14:paraId="576F9ABC" w14:textId="77777777" w:rsidR="000E7309" w:rsidRDefault="000E730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1034292"/>
      <w:docPartObj>
        <w:docPartGallery w:val="Page Numbers (Bottom of Page)"/>
        <w:docPartUnique/>
      </w:docPartObj>
    </w:sdtPr>
    <w:sdtEndPr>
      <w:rPr>
        <w:noProof/>
      </w:rPr>
    </w:sdtEndPr>
    <w:sdtContent>
      <w:p w14:paraId="4E0085FD" w14:textId="59266E66" w:rsidR="0005024D" w:rsidRDefault="0005024D">
        <w:pPr>
          <w:pStyle w:val="Footer"/>
          <w:jc w:val="center"/>
        </w:pPr>
        <w:r w:rsidRPr="002D00DF">
          <w:rPr>
            <w:color w:val="2B579A"/>
            <w:shd w:val="clear" w:color="auto" w:fill="E6E6E6"/>
          </w:rPr>
          <w:fldChar w:fldCharType="begin"/>
        </w:r>
        <w:r w:rsidRPr="002D00DF">
          <w:instrText xml:space="preserve"> PAGE   \* MERGEFORMAT </w:instrText>
        </w:r>
        <w:r w:rsidRPr="002D00DF">
          <w:rPr>
            <w:color w:val="2B579A"/>
            <w:shd w:val="clear" w:color="auto" w:fill="E6E6E6"/>
          </w:rPr>
          <w:fldChar w:fldCharType="separate"/>
        </w:r>
        <w:r w:rsidRPr="002D00DF">
          <w:rPr>
            <w:noProof/>
          </w:rPr>
          <w:t>2</w:t>
        </w:r>
        <w:r w:rsidRPr="002D00DF">
          <w:rPr>
            <w:noProof/>
            <w:color w:val="2B579A"/>
            <w:shd w:val="clear" w:color="auto" w:fill="E6E6E6"/>
          </w:rPr>
          <w:fldChar w:fldCharType="end"/>
        </w:r>
      </w:p>
    </w:sdtContent>
  </w:sdt>
  <w:p w14:paraId="0DD56EEA" w14:textId="77777777" w:rsidR="0005024D" w:rsidRDefault="0005024D">
    <w:pPr>
      <w:pStyle w:val="Footer"/>
    </w:pPr>
  </w:p>
  <w:p w14:paraId="6B2F00E1" w14:textId="77777777" w:rsidR="00AD0B7C" w:rsidRDefault="00AD0B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30666" w14:textId="77777777" w:rsidR="000E7309" w:rsidRDefault="000E7309" w:rsidP="00B32403">
      <w:r>
        <w:separator/>
      </w:r>
    </w:p>
  </w:footnote>
  <w:footnote w:type="continuationSeparator" w:id="0">
    <w:p w14:paraId="66AB87ED" w14:textId="77777777" w:rsidR="000E7309" w:rsidRDefault="000E7309" w:rsidP="00B32403">
      <w:r>
        <w:continuationSeparator/>
      </w:r>
    </w:p>
  </w:footnote>
  <w:footnote w:type="continuationNotice" w:id="1">
    <w:p w14:paraId="23C5BB65" w14:textId="77777777" w:rsidR="000E7309" w:rsidRDefault="000E7309">
      <w:pPr>
        <w:spacing w:before="0" w:after="0" w:line="240" w:lineRule="auto"/>
      </w:pPr>
    </w:p>
  </w:footnote>
  <w:footnote w:id="2">
    <w:p w14:paraId="771CBDBA" w14:textId="42CE3FE5" w:rsidR="00683D8A" w:rsidRPr="00BB18D0" w:rsidRDefault="00683D8A" w:rsidP="00186BF7">
      <w:pPr>
        <w:pStyle w:val="FootnoteText"/>
        <w:spacing w:before="0"/>
        <w:rPr>
          <w:sz w:val="16"/>
          <w:szCs w:val="16"/>
        </w:rPr>
      </w:pPr>
      <w:r w:rsidRPr="00BB18D0">
        <w:rPr>
          <w:rStyle w:val="FootnoteReference"/>
          <w:sz w:val="16"/>
          <w:szCs w:val="16"/>
        </w:rPr>
        <w:footnoteRef/>
      </w:r>
      <w:r w:rsidRPr="00BB18D0">
        <w:rPr>
          <w:sz w:val="16"/>
          <w:szCs w:val="16"/>
        </w:rPr>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 w:id="3">
    <w:p w14:paraId="24EA516E" w14:textId="796C7E2D" w:rsidR="00775EC3" w:rsidRPr="00BB18D0" w:rsidRDefault="00775EC3" w:rsidP="00186BF7">
      <w:pPr>
        <w:pStyle w:val="FootnoteText"/>
        <w:spacing w:before="0"/>
        <w:rPr>
          <w:sz w:val="16"/>
          <w:szCs w:val="16"/>
        </w:rPr>
      </w:pPr>
      <w:r w:rsidRPr="00BB18D0">
        <w:rPr>
          <w:rStyle w:val="FootnoteReference"/>
          <w:sz w:val="16"/>
          <w:szCs w:val="16"/>
        </w:rPr>
        <w:footnoteRef/>
      </w:r>
      <w:r w:rsidR="114B0701" w:rsidRPr="00BB18D0">
        <w:rPr>
          <w:sz w:val="16"/>
          <w:szCs w:val="16"/>
        </w:rPr>
        <w:t xml:space="preserve"> See for instance </w:t>
      </w:r>
      <w:r w:rsidR="114B0701" w:rsidRPr="114B0701">
        <w:rPr>
          <w:sz w:val="16"/>
          <w:szCs w:val="16"/>
        </w:rPr>
        <w:t xml:space="preserve">European Court of Auditors - Simplification in post-2020 delivery of Cohesion Policy, Briefing Paper, May 2018; </w:t>
      </w:r>
      <w:r w:rsidR="114B0701" w:rsidRPr="00BB18D0">
        <w:rPr>
          <w:sz w:val="16"/>
          <w:szCs w:val="16"/>
        </w:rPr>
        <w:t>ECA Annual Report concerning the financial year 2011, Chapter 6, paragraph 30; ECA Annual report concerning the financial year 2012, Chapter 6, paragraph 42; ECA Annual Report Annual report concerning the financial year 2014, Chapter 6, paragraph 79</w:t>
      </w:r>
      <w:r w:rsidR="114B0701" w:rsidRPr="114B0701">
        <w:rPr>
          <w:sz w:val="16"/>
          <w:szCs w:val="16"/>
        </w:rPr>
        <w:t>;  ECA Annual Report Annual report concerning the financial year 2018, Chapter 6, paragraph 24; ECA Annual Report Annual report concerning the financial year 2020, Chapter 5, paragraph 23; ECA Annual Report Annual report concerning the financial year 2021, Chapter 5, paragraph 23</w:t>
      </w:r>
    </w:p>
  </w:footnote>
  <w:footnote w:id="4">
    <w:p w14:paraId="7614268A" w14:textId="5D7D068B" w:rsidR="00AE39F4" w:rsidRPr="00AE39F4" w:rsidRDefault="00AE39F4" w:rsidP="00186BF7">
      <w:pPr>
        <w:pStyle w:val="FootnoteText"/>
        <w:spacing w:before="0"/>
        <w:rPr>
          <w:sz w:val="18"/>
          <w:szCs w:val="18"/>
        </w:rPr>
      </w:pPr>
      <w:r w:rsidRPr="00BB18D0">
        <w:rPr>
          <w:rStyle w:val="FootnoteReference"/>
          <w:sz w:val="16"/>
          <w:szCs w:val="16"/>
        </w:rPr>
        <w:footnoteRef/>
      </w:r>
      <w:hyperlink r:id="rId1" w:history="1">
        <w:r w:rsidRPr="00BB18D0">
          <w:rPr>
            <w:rStyle w:val="Hyperlink"/>
            <w:sz w:val="16"/>
            <w:szCs w:val="16"/>
          </w:rPr>
          <w:t>https://www.eca.europa.eu/Lists/ECADocuments/BRP_Cohesion_simplification/Briefing_paper_Cohesion_simplification_EN.pdf</w:t>
        </w:r>
      </w:hyperlink>
    </w:p>
  </w:footnote>
  <w:footnote w:id="5">
    <w:p w14:paraId="38BC5805" w14:textId="3C3C3F06" w:rsidR="002D7741" w:rsidRPr="00EF72F8" w:rsidRDefault="002D7741" w:rsidP="000A2B88">
      <w:pPr>
        <w:pStyle w:val="FootnoteText"/>
        <w:spacing w:before="0"/>
        <w:rPr>
          <w:sz w:val="16"/>
          <w:szCs w:val="16"/>
          <w:lang w:val="en-IE"/>
        </w:rPr>
      </w:pPr>
      <w:r w:rsidRPr="000A2B88">
        <w:rPr>
          <w:rStyle w:val="FootnoteReference"/>
          <w:sz w:val="16"/>
          <w:szCs w:val="16"/>
        </w:rPr>
        <w:footnoteRef/>
      </w:r>
      <w:r w:rsidRPr="000A2B88">
        <w:rPr>
          <w:sz w:val="16"/>
          <w:szCs w:val="16"/>
        </w:rPr>
        <w:t xml:space="preserve"> </w:t>
      </w:r>
      <w:r w:rsidR="00006846" w:rsidRPr="000A2B88">
        <w:rPr>
          <w:sz w:val="16"/>
          <w:szCs w:val="16"/>
          <w:lang w:val="en-IE"/>
        </w:rPr>
        <w:t xml:space="preserve">Except in cases where “off the shelf” flat rates </w:t>
      </w:r>
      <w:r w:rsidR="006E1B65" w:rsidRPr="000A2B88">
        <w:rPr>
          <w:sz w:val="16"/>
          <w:szCs w:val="16"/>
          <w:lang w:val="en-IE"/>
        </w:rPr>
        <w:t>which do not require a method</w:t>
      </w:r>
      <w:r w:rsidR="00BC446D" w:rsidRPr="000A2B88">
        <w:rPr>
          <w:sz w:val="16"/>
          <w:szCs w:val="16"/>
          <w:lang w:val="en-IE"/>
        </w:rPr>
        <w:t xml:space="preserve"> for the calculation of the rate. </w:t>
      </w:r>
    </w:p>
  </w:footnote>
  <w:footnote w:id="6">
    <w:p w14:paraId="67C8375E" w14:textId="77777777" w:rsidR="00186BF7" w:rsidRPr="00BB18D0" w:rsidRDefault="00186BF7" w:rsidP="00186BF7">
      <w:pPr>
        <w:pStyle w:val="FootnoteText"/>
        <w:spacing w:before="0"/>
        <w:rPr>
          <w:sz w:val="16"/>
          <w:szCs w:val="16"/>
        </w:rPr>
      </w:pPr>
      <w:r w:rsidRPr="00BB18D0">
        <w:rPr>
          <w:rStyle w:val="FootnoteReference"/>
          <w:sz w:val="16"/>
          <w:szCs w:val="16"/>
        </w:rPr>
        <w:footnoteRef/>
      </w:r>
      <w:r w:rsidRPr="00BB18D0">
        <w:rPr>
          <w:sz w:val="16"/>
          <w:szCs w:val="16"/>
        </w:rPr>
        <w:t xml:space="preserve"> Regulation (EU) 2021/1059 of the European Parliament and of the Council of 24 June 2021 on specific provisions for the European territorial cooperation goal (Interreg) supported by the European Regional Development Fund and external financing instruments, OJ L 231, 30.6.2021, p. 94–158.</w:t>
      </w:r>
    </w:p>
  </w:footnote>
  <w:footnote w:id="7">
    <w:p w14:paraId="3F8D6990" w14:textId="3C84FFDD" w:rsidR="00DB304F" w:rsidRPr="00BB18D0" w:rsidRDefault="00DB304F" w:rsidP="001429FE">
      <w:pPr>
        <w:pStyle w:val="FootnoteText"/>
        <w:spacing w:before="0"/>
        <w:rPr>
          <w:sz w:val="16"/>
          <w:szCs w:val="16"/>
        </w:rPr>
      </w:pPr>
      <w:r w:rsidRPr="00BB18D0">
        <w:rPr>
          <w:rStyle w:val="FootnoteReference"/>
          <w:sz w:val="16"/>
          <w:szCs w:val="16"/>
        </w:rPr>
        <w:footnoteRef/>
      </w:r>
      <w:r w:rsidR="001429FE" w:rsidRPr="00BB18D0">
        <w:rPr>
          <w:sz w:val="16"/>
          <w:szCs w:val="16"/>
        </w:rPr>
        <w:t xml:space="preserve"> </w:t>
      </w:r>
      <w:r w:rsidR="00B74801" w:rsidRPr="00BB18D0">
        <w:rPr>
          <w:sz w:val="16"/>
          <w:szCs w:val="16"/>
        </w:rPr>
        <w:t>P</w:t>
      </w:r>
      <w:r w:rsidRPr="00BB18D0">
        <w:rPr>
          <w:sz w:val="16"/>
          <w:szCs w:val="16"/>
        </w:rPr>
        <w:t xml:space="preserve">rovided that the direct costs of the operation do not include public </w:t>
      </w:r>
      <w:proofErr w:type="gramStart"/>
      <w:r w:rsidRPr="00BB18D0">
        <w:rPr>
          <w:sz w:val="16"/>
          <w:szCs w:val="16"/>
        </w:rPr>
        <w:t>works</w:t>
      </w:r>
      <w:proofErr w:type="gramEnd"/>
      <w:r w:rsidRPr="00BB18D0">
        <w:rPr>
          <w:sz w:val="16"/>
          <w:szCs w:val="16"/>
        </w:rPr>
        <w:t xml:space="preserve"> contracts or supply or service contracts which exceed in value the thresholds set out in Article 4 of Directive 2014/24/EU of the European Parliament and of the Council or in Article 15 of Directive 2014/25/EU of the European Parliament and of the Council. In addition, for the AMIF, the ISF and the BMVI, that flat rate shall only be applied to the direct costs of the operation not subject to public procurement.</w:t>
      </w:r>
    </w:p>
  </w:footnote>
  <w:footnote w:id="8">
    <w:p w14:paraId="0B8BC93F" w14:textId="178FD3EB" w:rsidR="00DB304F" w:rsidRPr="00430C26" w:rsidRDefault="00DB304F" w:rsidP="001429FE">
      <w:pPr>
        <w:pStyle w:val="FootnoteText"/>
        <w:spacing w:before="0"/>
      </w:pPr>
      <w:r w:rsidRPr="00BB18D0">
        <w:rPr>
          <w:rStyle w:val="FootnoteReference"/>
          <w:sz w:val="16"/>
          <w:szCs w:val="16"/>
        </w:rPr>
        <w:footnoteRef/>
      </w:r>
      <w:r w:rsidR="001429FE" w:rsidRPr="00BB18D0">
        <w:rPr>
          <w:sz w:val="16"/>
          <w:szCs w:val="16"/>
        </w:rPr>
        <w:t xml:space="preserve"> </w:t>
      </w:r>
      <w:r w:rsidR="004D5C75" w:rsidRPr="00BB18D0">
        <w:rPr>
          <w:sz w:val="16"/>
          <w:szCs w:val="16"/>
        </w:rPr>
        <w:t>S</w:t>
      </w:r>
      <w:r w:rsidRPr="00BB18D0">
        <w:rPr>
          <w:sz w:val="16"/>
          <w:szCs w:val="16"/>
        </w:rPr>
        <w:t>alaries and allowances paid to participants are to be considered additional eligible costs not included in the flat rate.</w:t>
      </w:r>
    </w:p>
  </w:footnote>
  <w:footnote w:id="9">
    <w:p w14:paraId="0ADA6B72" w14:textId="7AC7C03D" w:rsidR="1B560810" w:rsidRPr="000A2B88" w:rsidRDefault="1B560810" w:rsidP="00ED591F">
      <w:pPr>
        <w:pStyle w:val="FootnoteText"/>
        <w:spacing w:before="0"/>
        <w:rPr>
          <w:sz w:val="16"/>
          <w:szCs w:val="16"/>
        </w:rPr>
      </w:pPr>
      <w:r w:rsidRPr="000A2B88">
        <w:rPr>
          <w:rStyle w:val="FootnoteReference"/>
          <w:sz w:val="16"/>
          <w:szCs w:val="16"/>
        </w:rPr>
        <w:footnoteRef/>
      </w:r>
      <w:r w:rsidR="4AF773E3" w:rsidRPr="000A2B88">
        <w:rPr>
          <w:sz w:val="16"/>
          <w:szCs w:val="16"/>
        </w:rPr>
        <w:t xml:space="preserve"> Art. 22 (1)(a) ESF + Regulation: the cost of purchasing food and/or basic material assistance, including costs related to transporting food and/or basic material assistance to the beneficiaries delivering the food and/or basic material assistance to the end recipient</w:t>
      </w:r>
      <w:r w:rsidR="0029016E" w:rsidRPr="000A2B88">
        <w:rPr>
          <w:sz w:val="16"/>
          <w:szCs w:val="16"/>
        </w:rPr>
        <w:t>.</w:t>
      </w:r>
    </w:p>
  </w:footnote>
  <w:footnote w:id="10">
    <w:p w14:paraId="6F282F3E" w14:textId="2A43BCD4" w:rsidR="00A57DB1" w:rsidRPr="000A2B88" w:rsidRDefault="00A57DB1" w:rsidP="005C09DC">
      <w:pPr>
        <w:pStyle w:val="FootnoteText"/>
        <w:spacing w:before="0"/>
        <w:rPr>
          <w:sz w:val="16"/>
          <w:szCs w:val="16"/>
        </w:rPr>
      </w:pPr>
      <w:r w:rsidRPr="000A2B88">
        <w:rPr>
          <w:rStyle w:val="FootnoteReference"/>
          <w:sz w:val="16"/>
          <w:szCs w:val="16"/>
        </w:rPr>
        <w:footnoteRef/>
      </w:r>
      <w:r w:rsidRPr="000A2B88">
        <w:rPr>
          <w:sz w:val="16"/>
          <w:szCs w:val="16"/>
        </w:rPr>
        <w:t xml:space="preserve"> Directive 2014/24/EU of the European Parliament and of the Council of 26 February 2014 on public procurement and repealing Directive 2004/18/EC, OJ L 94, p. 65–242.</w:t>
      </w:r>
    </w:p>
  </w:footnote>
  <w:footnote w:id="11">
    <w:p w14:paraId="72F01C9D" w14:textId="66B13C91" w:rsidR="007E7C8F" w:rsidRPr="000A2B88" w:rsidRDefault="007E7C8F" w:rsidP="005C09DC">
      <w:pPr>
        <w:pStyle w:val="FootnoteText"/>
        <w:spacing w:before="0"/>
        <w:rPr>
          <w:sz w:val="16"/>
          <w:szCs w:val="16"/>
        </w:rPr>
      </w:pPr>
      <w:r w:rsidRPr="000A2B88">
        <w:rPr>
          <w:rStyle w:val="FootnoteReference"/>
          <w:sz w:val="16"/>
          <w:szCs w:val="16"/>
        </w:rPr>
        <w:footnoteRef/>
      </w:r>
      <w:r w:rsidRPr="000A2B88">
        <w:rPr>
          <w:sz w:val="16"/>
          <w:szCs w:val="16"/>
        </w:rPr>
        <w:t xml:space="preserve"> Directive 2014/25/EU of the European Parliament and of the Council of 26 February 2014 on procurement by entities operating in the water, energy, transport and postal services sectors and repealing Directive 2004/17/EC, OJ L 94, p. 243–374.</w:t>
      </w:r>
    </w:p>
  </w:footnote>
  <w:footnote w:id="12">
    <w:p w14:paraId="0C6CD892" w14:textId="77777777" w:rsidR="0041201E" w:rsidRPr="005C09DC" w:rsidRDefault="0041201E" w:rsidP="005C09DC">
      <w:pPr>
        <w:pStyle w:val="FootnoteText"/>
        <w:spacing w:before="0"/>
        <w:rPr>
          <w:sz w:val="18"/>
          <w:szCs w:val="18"/>
        </w:rPr>
      </w:pPr>
      <w:r w:rsidRPr="000A2B88">
        <w:rPr>
          <w:rStyle w:val="FootnoteReference"/>
          <w:sz w:val="16"/>
          <w:szCs w:val="16"/>
        </w:rPr>
        <w:footnoteRef/>
      </w:r>
      <w:r w:rsidRPr="000A2B88">
        <w:rPr>
          <w:sz w:val="16"/>
          <w:szCs w:val="16"/>
        </w:rPr>
        <w:t xml:space="preserve"> Article 4 of Directive 2014/24/EU refers to “procurements with a value net of value-added tax (VAT)” being equal to or greater than the specific thresholds stated therein”. The same provision is enshrined in Article 15 of Directive 2014/25/EU.</w:t>
      </w:r>
    </w:p>
  </w:footnote>
  <w:footnote w:id="13">
    <w:p w14:paraId="72B0525D" w14:textId="516EE28B" w:rsidR="00367DF7" w:rsidRPr="00BB18D0" w:rsidRDefault="00367DF7" w:rsidP="00186705">
      <w:pPr>
        <w:pStyle w:val="FootnoteText"/>
        <w:spacing w:before="0"/>
        <w:rPr>
          <w:sz w:val="16"/>
          <w:szCs w:val="16"/>
        </w:rPr>
      </w:pPr>
      <w:r w:rsidRPr="00BB18D0">
        <w:rPr>
          <w:rStyle w:val="FootnoteReference"/>
          <w:sz w:val="16"/>
          <w:szCs w:val="16"/>
        </w:rPr>
        <w:footnoteRef/>
      </w:r>
      <w:r w:rsidRPr="00BB18D0">
        <w:rPr>
          <w:sz w:val="16"/>
          <w:szCs w:val="16"/>
        </w:rPr>
        <w:t xml:space="preserve"> Direct staff costs may also be established by a different methodology set in the CPR, e.g.</w:t>
      </w:r>
      <w:r w:rsidR="00E279EC" w:rsidRPr="00BB18D0">
        <w:rPr>
          <w:sz w:val="16"/>
          <w:szCs w:val="16"/>
        </w:rPr>
        <w:t>,</w:t>
      </w:r>
      <w:r w:rsidRPr="00BB18D0">
        <w:rPr>
          <w:sz w:val="16"/>
          <w:szCs w:val="16"/>
        </w:rPr>
        <w:t xml:space="preserve"> unit costs with a different denominator than 1720 hours could be established </w:t>
      </w:r>
      <w:proofErr w:type="gramStart"/>
      <w:r w:rsidRPr="00BB18D0">
        <w:rPr>
          <w:sz w:val="16"/>
          <w:szCs w:val="16"/>
        </w:rPr>
        <w:t>on the basis of</w:t>
      </w:r>
      <w:proofErr w:type="gramEnd"/>
      <w:r w:rsidRPr="00BB18D0">
        <w:rPr>
          <w:sz w:val="16"/>
          <w:szCs w:val="16"/>
        </w:rPr>
        <w:t xml:space="preserve"> Art</w:t>
      </w:r>
      <w:r w:rsidR="00186705" w:rsidRPr="00BB18D0">
        <w:rPr>
          <w:sz w:val="16"/>
          <w:szCs w:val="16"/>
        </w:rPr>
        <w:t>icle</w:t>
      </w:r>
      <w:r w:rsidRPr="00BB18D0">
        <w:rPr>
          <w:sz w:val="16"/>
          <w:szCs w:val="16"/>
        </w:rPr>
        <w:t xml:space="preserve"> 53(1)(b) and</w:t>
      </w:r>
      <w:r w:rsidR="00186705" w:rsidRPr="00BB18D0">
        <w:rPr>
          <w:sz w:val="16"/>
          <w:szCs w:val="16"/>
        </w:rPr>
        <w:t xml:space="preserve"> of</w:t>
      </w:r>
      <w:r w:rsidR="002F74C4" w:rsidRPr="00BB18D0">
        <w:rPr>
          <w:sz w:val="16"/>
          <w:szCs w:val="16"/>
        </w:rPr>
        <w:t xml:space="preserve"> one of the methods set in</w:t>
      </w:r>
      <w:r w:rsidRPr="00BB18D0">
        <w:rPr>
          <w:sz w:val="16"/>
          <w:szCs w:val="16"/>
        </w:rPr>
        <w:t xml:space="preserve"> Art. 53(3) CPR.</w:t>
      </w:r>
    </w:p>
  </w:footnote>
  <w:footnote w:id="14">
    <w:p w14:paraId="0FF00564" w14:textId="7A12FD96" w:rsidR="001B5A02" w:rsidRPr="000A2B88" w:rsidRDefault="001B5A02" w:rsidP="002660D4">
      <w:pPr>
        <w:pStyle w:val="FootnoteText"/>
        <w:spacing w:before="0"/>
        <w:rPr>
          <w:sz w:val="16"/>
          <w:szCs w:val="16"/>
        </w:rPr>
      </w:pPr>
      <w:r w:rsidRPr="000A2B88">
        <w:rPr>
          <w:rStyle w:val="FootnoteReference"/>
          <w:sz w:val="16"/>
          <w:szCs w:val="16"/>
        </w:rPr>
        <w:footnoteRef/>
      </w:r>
      <w:r w:rsidRPr="000A2B88">
        <w:rPr>
          <w:sz w:val="16"/>
          <w:szCs w:val="16"/>
        </w:rPr>
        <w:t xml:space="preserve"> For an explanation regarding the different types of costs, see section </w:t>
      </w:r>
      <w:r w:rsidR="002660D4" w:rsidRPr="000A2B88">
        <w:rPr>
          <w:sz w:val="16"/>
          <w:szCs w:val="16"/>
        </w:rPr>
        <w:t>2.2.1</w:t>
      </w:r>
      <w:r w:rsidRPr="000A2B88">
        <w:rPr>
          <w:sz w:val="16"/>
          <w:szCs w:val="16"/>
        </w:rPr>
        <w:t>.</w:t>
      </w:r>
    </w:p>
  </w:footnote>
  <w:footnote w:id="15">
    <w:p w14:paraId="418E8CEE" w14:textId="77777777" w:rsidR="0066735C" w:rsidRPr="00BB18D0" w:rsidRDefault="0066735C" w:rsidP="004E0E7E">
      <w:pPr>
        <w:pStyle w:val="FootnoteText"/>
        <w:spacing w:before="0"/>
        <w:rPr>
          <w:sz w:val="16"/>
          <w:szCs w:val="16"/>
          <w:lang w:val="en-US"/>
        </w:rPr>
      </w:pPr>
      <w:r w:rsidRPr="00BB18D0">
        <w:rPr>
          <w:rStyle w:val="FootnoteReference"/>
          <w:sz w:val="16"/>
          <w:szCs w:val="16"/>
        </w:rPr>
        <w:footnoteRef/>
      </w:r>
      <w:r w:rsidRPr="00BB18D0">
        <w:rPr>
          <w:sz w:val="16"/>
          <w:szCs w:val="16"/>
        </w:rPr>
        <w:t xml:space="preserve"> For support that is not awarded via a call for proposals this should be stated in the general document specifying the methodology of support.</w:t>
      </w:r>
    </w:p>
  </w:footnote>
  <w:footnote w:id="16">
    <w:p w14:paraId="6552A598" w14:textId="2313DB13" w:rsidR="00633CC0" w:rsidRPr="000A2B88" w:rsidRDefault="00633CC0" w:rsidP="00956720">
      <w:pPr>
        <w:pStyle w:val="FootnoteText"/>
        <w:spacing w:before="0"/>
        <w:rPr>
          <w:sz w:val="16"/>
          <w:szCs w:val="16"/>
        </w:rPr>
      </w:pPr>
      <w:r w:rsidRPr="000A2B88">
        <w:rPr>
          <w:rStyle w:val="FootnoteReference"/>
          <w:sz w:val="16"/>
          <w:szCs w:val="16"/>
        </w:rPr>
        <w:footnoteRef/>
      </w:r>
      <w:r w:rsidRPr="000A2B88">
        <w:rPr>
          <w:sz w:val="16"/>
          <w:szCs w:val="16"/>
        </w:rPr>
        <w:t xml:space="preserve"> No matter when the methodology was established according to Article 53(3)(a) CPR</w:t>
      </w:r>
      <w:r w:rsidR="004E0E7E" w:rsidRPr="000A2B88">
        <w:rPr>
          <w:sz w:val="16"/>
          <w:szCs w:val="16"/>
        </w:rPr>
        <w:t xml:space="preserve"> or Article 94(2)(a) CPR</w:t>
      </w:r>
      <w:r w:rsidRPr="000A2B88">
        <w:rPr>
          <w:sz w:val="16"/>
          <w:szCs w:val="16"/>
        </w:rPr>
        <w:t xml:space="preserve">, </w:t>
      </w:r>
      <w:proofErr w:type="gramStart"/>
      <w:r w:rsidRPr="000A2B88">
        <w:rPr>
          <w:sz w:val="16"/>
          <w:szCs w:val="16"/>
        </w:rPr>
        <w:t>as long as</w:t>
      </w:r>
      <w:proofErr w:type="gramEnd"/>
      <w:r w:rsidRPr="000A2B88">
        <w:rPr>
          <w:sz w:val="16"/>
          <w:szCs w:val="16"/>
        </w:rPr>
        <w:t xml:space="preserve"> it is in use, it must be auditable.</w:t>
      </w:r>
    </w:p>
  </w:footnote>
  <w:footnote w:id="17">
    <w:p w14:paraId="0CAC30BB" w14:textId="77777777" w:rsidR="005354B6" w:rsidRPr="00A52D3D" w:rsidRDefault="005354B6" w:rsidP="00BB18D0">
      <w:pPr>
        <w:pStyle w:val="FootnoteText"/>
        <w:spacing w:before="0"/>
        <w:rPr>
          <w:sz w:val="16"/>
          <w:szCs w:val="16"/>
        </w:rPr>
      </w:pPr>
      <w:r w:rsidRPr="00A52D3D">
        <w:rPr>
          <w:rStyle w:val="FootnoteReference"/>
          <w:sz w:val="16"/>
          <w:szCs w:val="16"/>
        </w:rPr>
        <w:footnoteRef/>
      </w:r>
      <w:r w:rsidRPr="00A52D3D">
        <w:rPr>
          <w:sz w:val="16"/>
          <w:szCs w:val="16"/>
        </w:rPr>
        <w:t xml:space="preserve"> This draft budget has an illustrative purpose only. This should not be considered as a sufficiently detailed draft budget. </w:t>
      </w:r>
    </w:p>
  </w:footnote>
  <w:footnote w:id="18">
    <w:p w14:paraId="53ECD1D3" w14:textId="77777777" w:rsidR="00CA7C6A" w:rsidRPr="00BB18D0" w:rsidRDefault="00CA7C6A" w:rsidP="00BB18D0">
      <w:pPr>
        <w:pStyle w:val="FootnoteText"/>
        <w:spacing w:before="0"/>
        <w:rPr>
          <w:sz w:val="18"/>
          <w:szCs w:val="18"/>
        </w:rPr>
      </w:pPr>
      <w:r w:rsidRPr="00BB18D0">
        <w:rPr>
          <w:rStyle w:val="FootnoteReference"/>
          <w:sz w:val="16"/>
          <w:szCs w:val="16"/>
        </w:rPr>
        <w:footnoteRef/>
      </w:r>
      <w:r w:rsidRPr="00BB18D0">
        <w:rPr>
          <w:sz w:val="16"/>
          <w:szCs w:val="16"/>
        </w:rPr>
        <w:t xml:space="preserve"> </w:t>
      </w:r>
      <w:r w:rsidRPr="00BB18D0">
        <w:rPr>
          <w:rFonts w:eastAsia="Verdana" w:cs="Verdana"/>
          <w:sz w:val="16"/>
          <w:szCs w:val="16"/>
        </w:rPr>
        <w:t xml:space="preserve">Commission Regulation (EU) No 651/2014 of 17 June 2014 declaring certain categories of aid compatible with the internal market in application of Articles 107 and 108 of the Treaty, </w:t>
      </w:r>
      <w:r w:rsidRPr="00BB18D0">
        <w:rPr>
          <w:rFonts w:eastAsia="Verdana" w:cs="Verdana"/>
          <w:i/>
          <w:iCs/>
          <w:sz w:val="16"/>
          <w:szCs w:val="16"/>
        </w:rPr>
        <w:t xml:space="preserve">OJ L 187, 26.6.2014, p. </w:t>
      </w:r>
      <w:proofErr w:type="gramStart"/>
      <w:r w:rsidRPr="00BB18D0">
        <w:rPr>
          <w:rFonts w:eastAsia="Verdana" w:cs="Verdana"/>
          <w:i/>
          <w:iCs/>
          <w:sz w:val="16"/>
          <w:szCs w:val="16"/>
        </w:rPr>
        <w:t>1</w:t>
      </w:r>
      <w:proofErr w:type="gramEnd"/>
    </w:p>
  </w:footnote>
  <w:footnote w:id="19">
    <w:p w14:paraId="3F3A675D" w14:textId="77777777" w:rsidR="00CA7C6A" w:rsidRPr="00BB18D0" w:rsidRDefault="00CA7C6A" w:rsidP="00BB18D0">
      <w:pPr>
        <w:pStyle w:val="FootnoteText"/>
        <w:spacing w:before="0"/>
        <w:rPr>
          <w:sz w:val="16"/>
          <w:szCs w:val="16"/>
        </w:rPr>
      </w:pPr>
      <w:r w:rsidRPr="00BB18D0">
        <w:rPr>
          <w:rStyle w:val="FootnoteReference"/>
          <w:sz w:val="16"/>
          <w:szCs w:val="16"/>
        </w:rPr>
        <w:footnoteRef/>
      </w:r>
      <w:r w:rsidRPr="00BB18D0">
        <w:rPr>
          <w:sz w:val="16"/>
          <w:szCs w:val="16"/>
        </w:rPr>
        <w:t xml:space="preserve"> </w:t>
      </w:r>
      <w:r w:rsidRPr="00BB18D0">
        <w:rPr>
          <w:rFonts w:eastAsia="Verdana" w:cs="Verdana"/>
          <w:sz w:val="16"/>
          <w:szCs w:val="16"/>
        </w:rPr>
        <w:t xml:space="preserve">Commission Regulation (EU) 2022/2473 of 14 December 2022 declaring certain categories of aid to undertakings active in the production, processing and marketing of fishery and aquaculture products compatible with the internal market in application of Articles 107 and 108 of the Treaty on the Functioning of the European Union, </w:t>
      </w:r>
      <w:r w:rsidRPr="00BB18D0">
        <w:rPr>
          <w:rFonts w:eastAsia="Verdana" w:cs="Verdana"/>
          <w:i/>
          <w:iCs/>
          <w:sz w:val="16"/>
          <w:szCs w:val="16"/>
        </w:rPr>
        <w:t xml:space="preserve">OJ L 327, 21.12.2022, p. </w:t>
      </w:r>
      <w:proofErr w:type="gramStart"/>
      <w:r w:rsidRPr="00BB18D0">
        <w:rPr>
          <w:rFonts w:eastAsia="Verdana" w:cs="Verdana"/>
          <w:i/>
          <w:iCs/>
          <w:sz w:val="16"/>
          <w:szCs w:val="16"/>
        </w:rPr>
        <w:t>82</w:t>
      </w:r>
      <w:proofErr w:type="gramEnd"/>
    </w:p>
  </w:footnote>
  <w:footnote w:id="20">
    <w:p w14:paraId="08BAFD4B" w14:textId="2356CE88" w:rsidR="00DB5082" w:rsidRPr="00C7699B" w:rsidRDefault="00DB5082" w:rsidP="00C7699B">
      <w:pPr>
        <w:pStyle w:val="FootnoteText"/>
        <w:spacing w:before="0"/>
        <w:rPr>
          <w:sz w:val="16"/>
          <w:szCs w:val="16"/>
        </w:rPr>
      </w:pPr>
      <w:r w:rsidRPr="00C7699B">
        <w:rPr>
          <w:rStyle w:val="FootnoteReference"/>
          <w:sz w:val="16"/>
          <w:szCs w:val="16"/>
        </w:rPr>
        <w:footnoteRef/>
      </w:r>
      <w:r w:rsidRPr="00C7699B">
        <w:rPr>
          <w:color w:val="2B579A"/>
          <w:sz w:val="16"/>
          <w:szCs w:val="16"/>
          <w:shd w:val="clear" w:color="auto" w:fill="E6E6E6"/>
        </w:rPr>
        <w:t xml:space="preserve"> </w:t>
      </w:r>
      <w:r w:rsidRPr="00C7699B">
        <w:rPr>
          <w:rFonts w:eastAsia="Verdana" w:cs="Verdana"/>
          <w:sz w:val="16"/>
          <w:szCs w:val="16"/>
        </w:rPr>
        <w:t xml:space="preserve">Commission decision </w:t>
      </w:r>
      <w:r w:rsidR="003E6FF2" w:rsidRPr="00C7699B">
        <w:rPr>
          <w:rFonts w:eastAsia="Verdana" w:cs="Verdana"/>
          <w:sz w:val="16"/>
          <w:szCs w:val="16"/>
        </w:rPr>
        <w:t>20</w:t>
      </w:r>
      <w:r w:rsidR="00156DAD" w:rsidRPr="00C7699B">
        <w:rPr>
          <w:rFonts w:eastAsia="Verdana" w:cs="Verdana"/>
          <w:sz w:val="16"/>
          <w:szCs w:val="16"/>
        </w:rPr>
        <w:t>12/21/EU of 20 December 2011</w:t>
      </w:r>
      <w:r w:rsidR="005E43D9" w:rsidRPr="00C7699B">
        <w:rPr>
          <w:rFonts w:eastAsia="Verdana" w:cs="Verdana"/>
          <w:sz w:val="16"/>
          <w:szCs w:val="16"/>
        </w:rPr>
        <w:t xml:space="preserve"> on</w:t>
      </w:r>
      <w:r w:rsidR="005E43D9" w:rsidRPr="000A2B88">
        <w:rPr>
          <w:sz w:val="16"/>
          <w:szCs w:val="16"/>
        </w:rPr>
        <w:t xml:space="preserve"> the application of Article 106(2) of the Treaty on the Functioning of the European Union to State aid in the form of public service compensation granted to certain undertakings entrusted with the operation of services of general economic </w:t>
      </w:r>
      <w:proofErr w:type="gramStart"/>
      <w:r w:rsidR="005E43D9" w:rsidRPr="000A2B88">
        <w:rPr>
          <w:sz w:val="16"/>
          <w:szCs w:val="16"/>
        </w:rPr>
        <w:t>interest</w:t>
      </w:r>
      <w:proofErr w:type="gramEnd"/>
    </w:p>
  </w:footnote>
  <w:footnote w:id="21">
    <w:p w14:paraId="70EBBA21" w14:textId="0C77F04E" w:rsidR="4AF773E3" w:rsidRPr="00EF72F8" w:rsidRDefault="4AF773E3" w:rsidP="00C7699B">
      <w:pPr>
        <w:pStyle w:val="FootnoteText"/>
        <w:spacing w:before="0"/>
        <w:rPr>
          <w:sz w:val="16"/>
          <w:szCs w:val="16"/>
        </w:rPr>
      </w:pPr>
      <w:r w:rsidRPr="00C7699B">
        <w:rPr>
          <w:rStyle w:val="FootnoteReference"/>
          <w:sz w:val="16"/>
          <w:szCs w:val="16"/>
        </w:rPr>
        <w:footnoteRef/>
      </w:r>
      <w:r w:rsidRPr="00C7699B">
        <w:rPr>
          <w:sz w:val="16"/>
          <w:szCs w:val="16"/>
        </w:rPr>
        <w:t xml:space="preserve"> See for example the Guidelines on State aid for climate, environmental </w:t>
      </w:r>
      <w:proofErr w:type="gramStart"/>
      <w:r w:rsidRPr="00C7699B">
        <w:rPr>
          <w:sz w:val="16"/>
          <w:szCs w:val="16"/>
        </w:rPr>
        <w:t>protection</w:t>
      </w:r>
      <w:proofErr w:type="gramEnd"/>
      <w:r w:rsidRPr="00C7699B">
        <w:rPr>
          <w:sz w:val="16"/>
          <w:szCs w:val="16"/>
        </w:rPr>
        <w:t xml:space="preserve"> and energy 22 (2022/C 80/01)</w:t>
      </w:r>
    </w:p>
  </w:footnote>
  <w:footnote w:id="22">
    <w:p w14:paraId="3E9C4136" w14:textId="77777777" w:rsidR="00CA7C6A" w:rsidRPr="000A2B88" w:rsidRDefault="00CA7C6A" w:rsidP="000A2B88">
      <w:pPr>
        <w:pStyle w:val="FootnoteText"/>
        <w:spacing w:before="0"/>
        <w:rPr>
          <w:rFonts w:ascii="Verdana" w:hAnsi="Verdana" w:cs="Times New Roman"/>
          <w:sz w:val="16"/>
          <w:szCs w:val="16"/>
        </w:rPr>
      </w:pPr>
      <w:r w:rsidRPr="000A2B88">
        <w:rPr>
          <w:rFonts w:eastAsia="Verdana" w:cs="Verdana"/>
          <w:sz w:val="16"/>
          <w:szCs w:val="16"/>
        </w:rPr>
        <w:footnoteRef/>
      </w:r>
      <w:r w:rsidRPr="000A2B88">
        <w:rPr>
          <w:rFonts w:eastAsia="Verdana" w:cs="Verdana"/>
          <w:sz w:val="16"/>
          <w:szCs w:val="16"/>
        </w:rPr>
        <w:t xml:space="preserve"> Commission Notice on the notion of State aid as referred to in Article 107(1) of the Treaty on the Functioning of the European Union, OJ C 262, 19.07.2016, p. 1.</w:t>
      </w:r>
    </w:p>
  </w:footnote>
  <w:footnote w:id="23">
    <w:p w14:paraId="0B7E9A13" w14:textId="77777777" w:rsidR="00CA7C6A" w:rsidRPr="000A2B88" w:rsidRDefault="00CA7C6A" w:rsidP="000A2B88">
      <w:pPr>
        <w:pStyle w:val="FootnoteText"/>
        <w:spacing w:before="0"/>
        <w:rPr>
          <w:sz w:val="16"/>
          <w:szCs w:val="16"/>
          <w:lang w:val="en-IE"/>
        </w:rPr>
      </w:pPr>
      <w:r w:rsidRPr="000A2B88">
        <w:rPr>
          <w:rStyle w:val="FootnoteReference"/>
          <w:sz w:val="16"/>
          <w:szCs w:val="16"/>
        </w:rPr>
        <w:footnoteRef/>
      </w:r>
      <w:r w:rsidRPr="000A2B88">
        <w:rPr>
          <w:rFonts w:ascii="Roboto" w:eastAsia="Roboto" w:hAnsi="Roboto" w:cs="Roboto"/>
          <w:b/>
          <w:bCs/>
          <w:sz w:val="16"/>
          <w:szCs w:val="16"/>
        </w:rPr>
        <w:t xml:space="preserve"> </w:t>
      </w:r>
      <w:r w:rsidRPr="000A2B88">
        <w:rPr>
          <w:rFonts w:eastAsia="Verdana" w:cs="Verdana"/>
          <w:sz w:val="16"/>
          <w:szCs w:val="16"/>
        </w:rPr>
        <w:t>Commission Regulation (EU) 2023/2831 of 13 December 2023 on the application of Articles 107 and 108 of the Treaty on the Functioning of the European Union to de minimis aid</w:t>
      </w:r>
      <w:r w:rsidRPr="000A2B88">
        <w:rPr>
          <w:sz w:val="16"/>
          <w:szCs w:val="16"/>
        </w:rPr>
        <w:t xml:space="preserve"> Commission Regulation (EU) No 717/2014 of 27 June 2014 on the application of Articles 107 and 108 of the Treaty on the Functioning of the European Union to </w:t>
      </w:r>
      <w:r w:rsidRPr="000A2B88">
        <w:rPr>
          <w:i/>
          <w:iCs/>
          <w:sz w:val="16"/>
          <w:szCs w:val="16"/>
        </w:rPr>
        <w:t>de minimis</w:t>
      </w:r>
      <w:r w:rsidRPr="000A2B88">
        <w:rPr>
          <w:sz w:val="16"/>
          <w:szCs w:val="16"/>
        </w:rPr>
        <w:t xml:space="preserve"> aid in the fishery and aquaculture sector; </w:t>
      </w:r>
      <w:r w:rsidRPr="000A2B88">
        <w:rPr>
          <w:rFonts w:eastAsia="Verdana" w:cs="Verdana"/>
          <w:sz w:val="16"/>
          <w:szCs w:val="16"/>
        </w:rPr>
        <w:t xml:space="preserve">Commission Regulation (EU) No 2023/2832 of 13 </w:t>
      </w:r>
      <w:r w:rsidRPr="000A2B88">
        <w:rPr>
          <w:rFonts w:eastAsia="Verdana" w:cs="Verdana"/>
          <w:sz w:val="16"/>
          <w:szCs w:val="16"/>
        </w:rPr>
        <w:t xml:space="preserve">December 2023 on the application of Articles 107 and 108 of the Treaty on the Functioning of the European Union to </w:t>
      </w:r>
      <w:r w:rsidRPr="000A2B88">
        <w:rPr>
          <w:rFonts w:eastAsia="Verdana" w:cs="Verdana"/>
          <w:i/>
          <w:iCs/>
          <w:sz w:val="16"/>
          <w:szCs w:val="16"/>
        </w:rPr>
        <w:t>de minimis aid</w:t>
      </w:r>
      <w:r w:rsidRPr="000A2B88">
        <w:rPr>
          <w:rFonts w:eastAsia="Verdana" w:cs="Verdana"/>
          <w:sz w:val="16"/>
          <w:szCs w:val="16"/>
        </w:rPr>
        <w:t xml:space="preserve"> granted to undertakings providing services of general economic interest</w:t>
      </w:r>
    </w:p>
  </w:footnote>
  <w:footnote w:id="24">
    <w:p w14:paraId="7BB1C91A" w14:textId="3FD6E186" w:rsidR="45FEFC5A" w:rsidRPr="000A2B88" w:rsidRDefault="45FEFC5A" w:rsidP="000A2B88">
      <w:pPr>
        <w:pStyle w:val="FootnoteText"/>
        <w:spacing w:before="0"/>
        <w:rPr>
          <w:sz w:val="16"/>
          <w:szCs w:val="16"/>
        </w:rPr>
      </w:pPr>
      <w:r w:rsidRPr="000A2B88">
        <w:rPr>
          <w:rStyle w:val="FootnoteReference"/>
          <w:sz w:val="16"/>
          <w:szCs w:val="16"/>
        </w:rPr>
        <w:footnoteRef/>
      </w:r>
      <w:r w:rsidR="3808F258" w:rsidRPr="000A2B88">
        <w:rPr>
          <w:sz w:val="16"/>
          <w:szCs w:val="16"/>
        </w:rPr>
        <w:t xml:space="preserve"> Commission communication on rules to compensation granted for the provision of services of general economic interest (</w:t>
      </w:r>
      <w:r w:rsidR="3808F258" w:rsidRPr="000A2B88">
        <w:rPr>
          <w:color w:val="333333"/>
          <w:sz w:val="16"/>
          <w:szCs w:val="16"/>
        </w:rPr>
        <w:t>2012/C 8/02)</w:t>
      </w:r>
    </w:p>
  </w:footnote>
  <w:footnote w:id="25">
    <w:p w14:paraId="563A7127" w14:textId="4F36D5F9" w:rsidR="00EA3C95" w:rsidRPr="002C1FDF" w:rsidRDefault="00EA3C95" w:rsidP="00EF72F8">
      <w:pPr>
        <w:pStyle w:val="FootnoteText"/>
        <w:spacing w:before="0"/>
        <w:rPr>
          <w:sz w:val="16"/>
          <w:szCs w:val="16"/>
          <w:lang w:val="en-IE"/>
        </w:rPr>
      </w:pPr>
      <w:r w:rsidRPr="002C1FDF">
        <w:rPr>
          <w:rStyle w:val="FootnoteReference"/>
          <w:sz w:val="16"/>
          <w:szCs w:val="16"/>
        </w:rPr>
        <w:footnoteRef/>
      </w:r>
      <w:r w:rsidRPr="002C1FDF">
        <w:rPr>
          <w:sz w:val="16"/>
          <w:szCs w:val="16"/>
        </w:rPr>
        <w:t xml:space="preserve"> </w:t>
      </w:r>
      <w:r w:rsidRPr="002C1FDF">
        <w:rPr>
          <w:sz w:val="16"/>
          <w:szCs w:val="16"/>
          <w:lang w:val="en-IE"/>
        </w:rPr>
        <w:t xml:space="preserve">For more </w:t>
      </w:r>
      <w:r w:rsidR="00B80EBF">
        <w:rPr>
          <w:sz w:val="16"/>
          <w:szCs w:val="16"/>
          <w:lang w:val="en-IE"/>
        </w:rPr>
        <w:t xml:space="preserve">information </w:t>
      </w:r>
      <w:r w:rsidRPr="002C1FDF">
        <w:rPr>
          <w:sz w:val="16"/>
          <w:szCs w:val="16"/>
          <w:lang w:val="en-IE"/>
        </w:rPr>
        <w:t xml:space="preserve">on the calculation method in Article 53(3)(c) CPR, please refer to section </w:t>
      </w:r>
      <w:r w:rsidR="00CD5CCA">
        <w:rPr>
          <w:sz w:val="16"/>
          <w:szCs w:val="16"/>
          <w:lang w:val="en-IE"/>
        </w:rPr>
        <w:t xml:space="preserve">3.2. </w:t>
      </w:r>
      <w:r w:rsidR="00CD5CCA" w:rsidRPr="00CD5CCA">
        <w:rPr>
          <w:color w:val="2B579A"/>
          <w:sz w:val="16"/>
          <w:szCs w:val="16"/>
          <w:shd w:val="clear" w:color="auto" w:fill="E6E6E6"/>
          <w:lang w:val="en-IE"/>
        </w:rPr>
        <w:fldChar w:fldCharType="begin"/>
      </w:r>
      <w:r w:rsidR="00CD5CCA" w:rsidRPr="00CD5CCA">
        <w:rPr>
          <w:sz w:val="16"/>
          <w:szCs w:val="16"/>
          <w:lang w:val="en-IE"/>
        </w:rPr>
        <w:instrText xml:space="preserve"> REF _Ref163561643 \h </w:instrText>
      </w:r>
      <w:r w:rsidR="00CD5CCA">
        <w:rPr>
          <w:sz w:val="16"/>
          <w:szCs w:val="16"/>
          <w:lang w:val="en-IE"/>
        </w:rPr>
        <w:instrText xml:space="preserve"> \* MERGEFORMAT </w:instrText>
      </w:r>
      <w:r w:rsidR="00CD5CCA" w:rsidRPr="00CD5CCA">
        <w:rPr>
          <w:color w:val="2B579A"/>
          <w:sz w:val="16"/>
          <w:szCs w:val="16"/>
          <w:shd w:val="clear" w:color="auto" w:fill="E6E6E6"/>
          <w:lang w:val="en-IE"/>
        </w:rPr>
      </w:r>
      <w:r w:rsidR="00CD5CCA" w:rsidRPr="00CD5CCA">
        <w:rPr>
          <w:color w:val="2B579A"/>
          <w:sz w:val="16"/>
          <w:szCs w:val="16"/>
          <w:shd w:val="clear" w:color="auto" w:fill="E6E6E6"/>
          <w:lang w:val="en-IE"/>
        </w:rPr>
        <w:fldChar w:fldCharType="separate"/>
      </w:r>
      <w:r w:rsidR="00CD5CCA" w:rsidRPr="00CD5CCA">
        <w:rPr>
          <w:sz w:val="16"/>
          <w:szCs w:val="16"/>
        </w:rPr>
        <w:t>Methodologies</w:t>
      </w:r>
      <w:r w:rsidR="00CD5CCA" w:rsidRPr="00CD5CCA">
        <w:rPr>
          <w:color w:val="2B579A"/>
          <w:sz w:val="16"/>
          <w:szCs w:val="16"/>
          <w:shd w:val="clear" w:color="auto" w:fill="E6E6E6"/>
          <w:lang w:val="en-IE"/>
        </w:rPr>
        <w:fldChar w:fldCharType="end"/>
      </w:r>
      <w:r w:rsidRPr="002C1FDF">
        <w:rPr>
          <w:color w:val="2B579A"/>
          <w:sz w:val="16"/>
          <w:szCs w:val="16"/>
          <w:shd w:val="clear" w:color="auto" w:fill="E6E6E6"/>
          <w:lang w:val="en-IE"/>
        </w:rPr>
        <w:fldChar w:fldCharType="begin"/>
      </w:r>
      <w:r w:rsidRPr="002C1FDF">
        <w:rPr>
          <w:sz w:val="16"/>
          <w:szCs w:val="16"/>
          <w:lang w:val="en-IE"/>
        </w:rPr>
        <w:instrText xml:space="preserve"> REF _Ref158212085 \r \h </w:instrText>
      </w:r>
      <w:r>
        <w:rPr>
          <w:sz w:val="16"/>
          <w:szCs w:val="16"/>
          <w:lang w:val="en-IE"/>
        </w:rPr>
        <w:instrText xml:space="preserve"> \* MERGEFORMAT </w:instrText>
      </w:r>
      <w:r w:rsidRPr="002C1FDF">
        <w:rPr>
          <w:color w:val="2B579A"/>
          <w:sz w:val="16"/>
          <w:szCs w:val="16"/>
          <w:shd w:val="clear" w:color="auto" w:fill="E6E6E6"/>
          <w:lang w:val="en-IE"/>
        </w:rPr>
      </w:r>
      <w:r w:rsidR="006D2AAF">
        <w:rPr>
          <w:color w:val="2B579A"/>
          <w:sz w:val="16"/>
          <w:szCs w:val="16"/>
          <w:shd w:val="clear" w:color="auto" w:fill="E6E6E6"/>
          <w:lang w:val="en-IE"/>
        </w:rPr>
        <w:fldChar w:fldCharType="separate"/>
      </w:r>
      <w:r w:rsidRPr="002C1FDF">
        <w:rPr>
          <w:color w:val="2B579A"/>
          <w:sz w:val="16"/>
          <w:szCs w:val="16"/>
          <w:shd w:val="clear" w:color="auto" w:fill="E6E6E6"/>
          <w:lang w:val="en-IE"/>
        </w:rPr>
        <w:fldChar w:fldCharType="end"/>
      </w:r>
      <w:r w:rsidRPr="002C1FDF">
        <w:rPr>
          <w:sz w:val="16"/>
          <w:szCs w:val="16"/>
          <w:lang w:val="en-IE"/>
        </w:rPr>
        <w:t xml:space="preserve"> </w:t>
      </w:r>
      <w:r w:rsidRPr="002C1FDF">
        <w:rPr>
          <w:color w:val="2B579A"/>
          <w:sz w:val="16"/>
          <w:szCs w:val="16"/>
          <w:shd w:val="clear" w:color="auto" w:fill="E6E6E6"/>
          <w:lang w:val="en-IE"/>
        </w:rPr>
        <w:fldChar w:fldCharType="begin"/>
      </w:r>
      <w:r w:rsidRPr="002C1FDF">
        <w:rPr>
          <w:sz w:val="16"/>
          <w:szCs w:val="16"/>
          <w:lang w:val="en-IE"/>
        </w:rPr>
        <w:instrText xml:space="preserve"> REF _Ref158212094 \h </w:instrText>
      </w:r>
      <w:r>
        <w:rPr>
          <w:sz w:val="16"/>
          <w:szCs w:val="16"/>
          <w:lang w:val="en-IE"/>
        </w:rPr>
        <w:instrText xml:space="preserve"> \* MERGEFORMAT </w:instrText>
      </w:r>
      <w:r w:rsidRPr="002C1FDF">
        <w:rPr>
          <w:color w:val="2B579A"/>
          <w:sz w:val="16"/>
          <w:szCs w:val="16"/>
          <w:shd w:val="clear" w:color="auto" w:fill="E6E6E6"/>
          <w:lang w:val="en-IE"/>
        </w:rPr>
      </w:r>
      <w:r w:rsidR="006D2AAF">
        <w:rPr>
          <w:color w:val="2B579A"/>
          <w:sz w:val="16"/>
          <w:szCs w:val="16"/>
          <w:shd w:val="clear" w:color="auto" w:fill="E6E6E6"/>
          <w:lang w:val="en-IE"/>
        </w:rPr>
        <w:fldChar w:fldCharType="separate"/>
      </w:r>
      <w:r w:rsidRPr="002C1FDF">
        <w:rPr>
          <w:color w:val="2B579A"/>
          <w:sz w:val="16"/>
          <w:szCs w:val="16"/>
          <w:shd w:val="clear" w:color="auto" w:fill="E6E6E6"/>
          <w:lang w:val="en-IE"/>
        </w:rPr>
        <w:fldChar w:fldCharType="end"/>
      </w:r>
      <w:r w:rsidRPr="002C1FDF">
        <w:rPr>
          <w:sz w:val="16"/>
          <w:szCs w:val="16"/>
          <w:lang w:val="en-IE"/>
        </w:rPr>
        <w:t>.</w:t>
      </w:r>
    </w:p>
  </w:footnote>
  <w:footnote w:id="26">
    <w:p w14:paraId="5CF0D057" w14:textId="77777777" w:rsidR="00413C39" w:rsidRPr="00787BCD" w:rsidRDefault="00413C39" w:rsidP="005F0173">
      <w:pPr>
        <w:pStyle w:val="FootnoteText"/>
        <w:spacing w:before="0"/>
        <w:rPr>
          <w:sz w:val="16"/>
          <w:szCs w:val="16"/>
          <w:lang w:val="en-IE"/>
        </w:rPr>
      </w:pPr>
      <w:r w:rsidRPr="00787BCD">
        <w:rPr>
          <w:rStyle w:val="FootnoteReference"/>
          <w:sz w:val="16"/>
          <w:szCs w:val="16"/>
        </w:rPr>
        <w:footnoteRef/>
      </w:r>
      <w:r w:rsidRPr="00787BCD">
        <w:rPr>
          <w:sz w:val="16"/>
          <w:szCs w:val="16"/>
        </w:rPr>
        <w:t xml:space="preserve"> </w:t>
      </w:r>
      <w:r>
        <w:rPr>
          <w:sz w:val="16"/>
          <w:szCs w:val="16"/>
        </w:rPr>
        <w:t>Please note that the information u</w:t>
      </w:r>
      <w:r w:rsidRPr="00B9124B">
        <w:rPr>
          <w:sz w:val="16"/>
          <w:szCs w:val="16"/>
        </w:rPr>
        <w:t xml:space="preserve">nder field 23, information on contractors, their beneficial owners and contracts only </w:t>
      </w:r>
      <w:proofErr w:type="gramStart"/>
      <w:r w:rsidRPr="00B9124B">
        <w:rPr>
          <w:sz w:val="16"/>
          <w:szCs w:val="16"/>
        </w:rPr>
        <w:t>has to</w:t>
      </w:r>
      <w:proofErr w:type="gramEnd"/>
      <w:r w:rsidRPr="00B9124B">
        <w:rPr>
          <w:sz w:val="16"/>
          <w:szCs w:val="16"/>
        </w:rPr>
        <w:t xml:space="preserve"> be recorded where the operation is implemented in accordance with Union public procurement rules (i.e., public procurement above the thresholds set out in Directive 2014/24/EU or Directive 2014/25/EU). Information on sub-contractors under field 24 </w:t>
      </w:r>
      <w:proofErr w:type="gramStart"/>
      <w:r w:rsidRPr="00B9124B">
        <w:rPr>
          <w:sz w:val="16"/>
          <w:szCs w:val="16"/>
        </w:rPr>
        <w:t>has to</w:t>
      </w:r>
      <w:proofErr w:type="gramEnd"/>
      <w:r w:rsidRPr="00B9124B">
        <w:rPr>
          <w:sz w:val="16"/>
          <w:szCs w:val="16"/>
        </w:rPr>
        <w:t xml:space="preserve"> be recorded at the first level of sub-contracting, only where information is recorded on a contractor under field 23, and only for sub-contracts above EUR 50 000 total value.</w:t>
      </w:r>
    </w:p>
  </w:footnote>
  <w:footnote w:id="27">
    <w:p w14:paraId="63989EE0" w14:textId="40BA88F7" w:rsidR="00127C25" w:rsidRPr="00EF72F8" w:rsidRDefault="00127C25" w:rsidP="00EF72F8">
      <w:pPr>
        <w:pStyle w:val="FootnoteText"/>
        <w:spacing w:before="0"/>
        <w:jc w:val="left"/>
        <w:rPr>
          <w:sz w:val="16"/>
          <w:szCs w:val="16"/>
          <w:lang w:val="fr-BE"/>
        </w:rPr>
      </w:pPr>
      <w:r w:rsidRPr="00EF72F8">
        <w:rPr>
          <w:rStyle w:val="FootnoteReference"/>
          <w:sz w:val="16"/>
          <w:szCs w:val="16"/>
        </w:rPr>
        <w:footnoteRef/>
      </w:r>
      <w:r w:rsidR="5F60E5CE" w:rsidRPr="00EF72F8">
        <w:rPr>
          <w:color w:val="2B579A"/>
          <w:sz w:val="16"/>
          <w:szCs w:val="16"/>
          <w:lang w:val="fr-BE"/>
        </w:rPr>
        <w:t xml:space="preserve"> </w:t>
      </w:r>
      <w:r w:rsidR="5F60E5CE" w:rsidRPr="00EF72F8">
        <w:rPr>
          <w:sz w:val="16"/>
          <w:szCs w:val="16"/>
          <w:lang w:val="fr-BE"/>
        </w:rPr>
        <w:t xml:space="preserve">Commission notice (2021/C 121/01), </w:t>
      </w:r>
      <w:hyperlink r:id="rId2" w:history="1">
        <w:r w:rsidR="5F60E5CE" w:rsidRPr="00EF72F8">
          <w:rPr>
            <w:rStyle w:val="Hyperlink"/>
            <w:sz w:val="16"/>
            <w:szCs w:val="16"/>
            <w:lang w:val="fr-BE"/>
          </w:rPr>
          <w:t>eur-lex.europa.eu/legal-content/EN/TXT/PDF</w:t>
        </w:r>
        <w:proofErr w:type="gramStart"/>
        <w:r w:rsidR="5F60E5CE" w:rsidRPr="00EF72F8">
          <w:rPr>
            <w:rStyle w:val="Hyperlink"/>
            <w:sz w:val="16"/>
            <w:szCs w:val="16"/>
            <w:lang w:val="fr-BE"/>
          </w:rPr>
          <w:t>/?</w:t>
        </w:r>
        <w:proofErr w:type="gramEnd"/>
        <w:r w:rsidR="5F60E5CE" w:rsidRPr="00EF72F8">
          <w:rPr>
            <w:rStyle w:val="Hyperlink"/>
            <w:sz w:val="16"/>
            <w:szCs w:val="16"/>
            <w:lang w:val="fr-BE"/>
          </w:rPr>
          <w:t>uri=CELEX:52021XC0409(01)</w:t>
        </w:r>
      </w:hyperlink>
    </w:p>
  </w:footnote>
  <w:footnote w:id="28">
    <w:p w14:paraId="2C78CA03" w14:textId="27399FDB" w:rsidR="00A60AC7" w:rsidRPr="008D357B" w:rsidRDefault="00A60AC7" w:rsidP="008D357B">
      <w:pPr>
        <w:pStyle w:val="FootnoteText"/>
        <w:spacing w:before="0"/>
        <w:rPr>
          <w:sz w:val="16"/>
          <w:szCs w:val="16"/>
          <w:lang w:val="en-IE"/>
        </w:rPr>
      </w:pPr>
      <w:r w:rsidRPr="00EF72F8">
        <w:rPr>
          <w:rStyle w:val="FootnoteReference"/>
          <w:sz w:val="16"/>
          <w:szCs w:val="16"/>
        </w:rPr>
        <w:footnoteRef/>
      </w:r>
      <w:r w:rsidR="5F60E5CE" w:rsidRPr="00EF72F8">
        <w:rPr>
          <w:sz w:val="16"/>
          <w:szCs w:val="16"/>
        </w:rPr>
        <w:t xml:space="preserve"> Contributions in kind referred to in Article 67(1) CPR can be </w:t>
      </w:r>
      <w:proofErr w:type="gramStart"/>
      <w:r w:rsidR="5F60E5CE" w:rsidRPr="00EF72F8">
        <w:rPr>
          <w:sz w:val="16"/>
          <w:szCs w:val="16"/>
        </w:rPr>
        <w:t>taken into account</w:t>
      </w:r>
      <w:proofErr w:type="gramEnd"/>
      <w:r w:rsidR="5F60E5CE" w:rsidRPr="00EF72F8">
        <w:rPr>
          <w:sz w:val="16"/>
          <w:szCs w:val="16"/>
        </w:rPr>
        <w:t xml:space="preserve"> for calculating the value of a flat rate, a standard scale of unit cost or a lump sum, provided that Article 67(1) CPR is respected. However, when the simplified cost option is applied, there is no need to verify the existence of the contributions in kind, and, in consequence, that the conditions set out in Article 67(1) CPR are fulfilled</w:t>
      </w:r>
      <w:r w:rsidR="5F60E5CE" w:rsidRPr="008D357B">
        <w:rPr>
          <w:sz w:val="16"/>
          <w:szCs w:val="16"/>
        </w:rPr>
        <w:t>.</w:t>
      </w:r>
    </w:p>
  </w:footnote>
  <w:footnote w:id="29">
    <w:p w14:paraId="188C5377" w14:textId="2E460672" w:rsidR="009D1A7B" w:rsidRPr="000A2B88" w:rsidRDefault="009D1A7B" w:rsidP="000A2B88">
      <w:pPr>
        <w:pStyle w:val="FootnoteText"/>
        <w:spacing w:before="0"/>
        <w:rPr>
          <w:sz w:val="16"/>
          <w:szCs w:val="16"/>
          <w:lang w:val="en-IE"/>
        </w:rPr>
      </w:pPr>
      <w:r w:rsidRPr="000A2B88">
        <w:rPr>
          <w:rStyle w:val="FootnoteReference"/>
          <w:sz w:val="16"/>
          <w:szCs w:val="16"/>
        </w:rPr>
        <w:footnoteRef/>
      </w:r>
      <w:r w:rsidRPr="000A2B88">
        <w:rPr>
          <w:sz w:val="16"/>
          <w:szCs w:val="16"/>
        </w:rPr>
        <w:t xml:space="preserve"> </w:t>
      </w:r>
      <w:r w:rsidRPr="000A2B88">
        <w:rPr>
          <w:sz w:val="16"/>
          <w:szCs w:val="16"/>
          <w:lang w:val="en-IE"/>
        </w:rPr>
        <w:t xml:space="preserve">And correctly calculated if declared </w:t>
      </w:r>
      <w:proofErr w:type="gramStart"/>
      <w:r w:rsidRPr="000A2B88">
        <w:rPr>
          <w:sz w:val="16"/>
          <w:szCs w:val="16"/>
          <w:lang w:val="en-IE"/>
        </w:rPr>
        <w:t>on the basis of</w:t>
      </w:r>
      <w:proofErr w:type="gramEnd"/>
      <w:r w:rsidRPr="000A2B88">
        <w:rPr>
          <w:sz w:val="16"/>
          <w:szCs w:val="16"/>
          <w:lang w:val="en-IE"/>
        </w:rPr>
        <w:t xml:space="preserve"> simplified cost options.</w:t>
      </w:r>
    </w:p>
  </w:footnote>
  <w:footnote w:id="30">
    <w:p w14:paraId="5A6AC8F5" w14:textId="77777777" w:rsidR="009D1A7B" w:rsidRPr="00F77337" w:rsidRDefault="009D1A7B" w:rsidP="000A2B88">
      <w:pPr>
        <w:pStyle w:val="FootnoteText"/>
        <w:spacing w:before="0"/>
      </w:pPr>
      <w:r w:rsidRPr="000A2B88">
        <w:rPr>
          <w:rStyle w:val="FootnoteReference"/>
          <w:sz w:val="16"/>
          <w:szCs w:val="16"/>
        </w:rPr>
        <w:footnoteRef/>
      </w:r>
      <w:r w:rsidRPr="000A2B88">
        <w:rPr>
          <w:sz w:val="16"/>
          <w:szCs w:val="16"/>
        </w:rPr>
        <w:t xml:space="preserve"> according to article 36(4) CPR and article 27(2) of the Interreg regulation for Interreg programmes</w:t>
      </w:r>
    </w:p>
  </w:footnote>
  <w:footnote w:id="31">
    <w:p w14:paraId="6AA748A5" w14:textId="77777777" w:rsidR="00221B29" w:rsidRPr="00BB1FC0" w:rsidRDefault="00221B29" w:rsidP="00221B29">
      <w:pPr>
        <w:pStyle w:val="FootnoteText"/>
        <w:rPr>
          <w:sz w:val="16"/>
          <w:szCs w:val="16"/>
        </w:rPr>
      </w:pPr>
      <w:r w:rsidRPr="00BB1FC0">
        <w:rPr>
          <w:rStyle w:val="FootnoteReference"/>
          <w:sz w:val="16"/>
          <w:szCs w:val="16"/>
        </w:rPr>
        <w:footnoteRef/>
      </w:r>
      <w:r w:rsidRPr="00BB1FC0">
        <w:rPr>
          <w:sz w:val="16"/>
          <w:szCs w:val="16"/>
        </w:rPr>
        <w:t xml:space="preserve"> </w:t>
      </w:r>
      <w:r w:rsidRPr="00A52D3D">
        <w:rPr>
          <w:sz w:val="16"/>
          <w:szCs w:val="16"/>
        </w:rPr>
        <w:t>Under paragraphs (a) (b) (c) or (d)</w:t>
      </w:r>
    </w:p>
  </w:footnote>
  <w:footnote w:id="32">
    <w:p w14:paraId="2E9AD615" w14:textId="42108BAD" w:rsidR="00221B29" w:rsidRPr="00A52D3D" w:rsidRDefault="00221B29" w:rsidP="00221B29">
      <w:pPr>
        <w:pStyle w:val="FootnoteText"/>
        <w:rPr>
          <w:sz w:val="16"/>
          <w:szCs w:val="16"/>
        </w:rPr>
      </w:pPr>
      <w:r w:rsidRPr="00A52D3D">
        <w:rPr>
          <w:rStyle w:val="FootnoteReference"/>
          <w:sz w:val="16"/>
          <w:szCs w:val="16"/>
        </w:rPr>
        <w:footnoteRef/>
      </w:r>
      <w:r w:rsidRPr="00A52D3D">
        <w:rPr>
          <w:sz w:val="16"/>
          <w:szCs w:val="16"/>
        </w:rPr>
        <w:t xml:space="preserve"> Apart from salaries and allowance paid to participants (Article </w:t>
      </w:r>
      <w:r w:rsidRPr="6B8ED2E7">
        <w:rPr>
          <w:sz w:val="16"/>
          <w:szCs w:val="16"/>
        </w:rPr>
        <w:t>56</w:t>
      </w:r>
      <w:r w:rsidRPr="00A52D3D">
        <w:rPr>
          <w:sz w:val="16"/>
          <w:szCs w:val="16"/>
        </w:rPr>
        <w:t xml:space="preserve">(2) CPR) </w:t>
      </w:r>
      <w:r w:rsidRPr="6B8ED2E7">
        <w:rPr>
          <w:rFonts w:eastAsia="Verdana" w:cs="Verdana"/>
          <w:sz w:val="16"/>
          <w:szCs w:val="16"/>
        </w:rPr>
        <w:t>for operations supported by the ERDF, the ESF+, the JTF, the AMIF, the ISF and the BMVI</w:t>
      </w:r>
      <w:r w:rsidRPr="00A52D3D">
        <w:rPr>
          <w:sz w:val="16"/>
          <w:szCs w:val="16"/>
        </w:rPr>
        <w:t>.</w:t>
      </w:r>
    </w:p>
  </w:footnote>
  <w:footnote w:id="33">
    <w:p w14:paraId="0513ABF0" w14:textId="77777777" w:rsidR="00221B29" w:rsidRDefault="00221B29" w:rsidP="00221B29">
      <w:pPr>
        <w:pStyle w:val="FootnoteText"/>
      </w:pPr>
      <w:r w:rsidRPr="00BE7329">
        <w:rPr>
          <w:rStyle w:val="FootnoteReference"/>
        </w:rPr>
        <w:footnoteRef/>
      </w:r>
      <w:r w:rsidRPr="00BE7329">
        <w:t xml:space="preserve"> </w:t>
      </w:r>
      <w:r w:rsidRPr="00BE7329">
        <w:rPr>
          <w:rFonts w:eastAsia="Verdana" w:cs="Verdana"/>
          <w:sz w:val="16"/>
          <w:szCs w:val="16"/>
        </w:rPr>
        <w:t>For operations supported by the ERDF, the ESF+, the JTF, the AMIF, the ISF and the BMVI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278CE40"/>
    <w:lvl w:ilvl="0">
      <w:start w:val="1"/>
      <w:numFmt w:val="decimal"/>
      <w:lvlText w:val="%1."/>
      <w:lvlJc w:val="left"/>
      <w:pPr>
        <w:tabs>
          <w:tab w:val="num" w:pos="926"/>
        </w:tabs>
        <w:ind w:left="926" w:hanging="360"/>
      </w:pPr>
    </w:lvl>
  </w:abstractNum>
  <w:abstractNum w:abstractNumId="1" w15:restartNumberingAfterBreak="0">
    <w:nsid w:val="01522643"/>
    <w:multiLevelType w:val="hybridMultilevel"/>
    <w:tmpl w:val="BC7A4D1A"/>
    <w:lvl w:ilvl="0" w:tplc="3F2278E2">
      <w:start w:val="1"/>
      <w:numFmt w:val="bullet"/>
      <w:lvlText w:val=""/>
      <w:lvlJc w:val="left"/>
      <w:pPr>
        <w:ind w:left="720" w:hanging="360"/>
      </w:pPr>
      <w:rPr>
        <w:rFonts w:ascii="Symbol" w:hAnsi="Symbol" w:hint="default"/>
      </w:rPr>
    </w:lvl>
    <w:lvl w:ilvl="1" w:tplc="0A9A0FA6">
      <w:start w:val="1"/>
      <w:numFmt w:val="bullet"/>
      <w:lvlText w:val="o"/>
      <w:lvlJc w:val="left"/>
      <w:pPr>
        <w:ind w:left="1440" w:hanging="360"/>
      </w:pPr>
      <w:rPr>
        <w:rFonts w:ascii="Courier New" w:hAnsi="Courier New" w:hint="default"/>
      </w:rPr>
    </w:lvl>
    <w:lvl w:ilvl="2" w:tplc="D502347E">
      <w:start w:val="1"/>
      <w:numFmt w:val="bullet"/>
      <w:lvlText w:val=""/>
      <w:lvlJc w:val="left"/>
      <w:pPr>
        <w:ind w:left="2160" w:hanging="360"/>
      </w:pPr>
      <w:rPr>
        <w:rFonts w:ascii="Wingdings" w:hAnsi="Wingdings" w:hint="default"/>
      </w:rPr>
    </w:lvl>
    <w:lvl w:ilvl="3" w:tplc="1FAC4B8C">
      <w:start w:val="1"/>
      <w:numFmt w:val="bullet"/>
      <w:lvlText w:val=""/>
      <w:lvlJc w:val="left"/>
      <w:pPr>
        <w:ind w:left="2880" w:hanging="360"/>
      </w:pPr>
      <w:rPr>
        <w:rFonts w:ascii="Symbol" w:hAnsi="Symbol" w:hint="default"/>
      </w:rPr>
    </w:lvl>
    <w:lvl w:ilvl="4" w:tplc="A64ADF66">
      <w:start w:val="1"/>
      <w:numFmt w:val="bullet"/>
      <w:lvlText w:val="o"/>
      <w:lvlJc w:val="left"/>
      <w:pPr>
        <w:ind w:left="3600" w:hanging="360"/>
      </w:pPr>
      <w:rPr>
        <w:rFonts w:ascii="Courier New" w:hAnsi="Courier New" w:hint="default"/>
      </w:rPr>
    </w:lvl>
    <w:lvl w:ilvl="5" w:tplc="D8A484E8">
      <w:start w:val="1"/>
      <w:numFmt w:val="bullet"/>
      <w:lvlText w:val=""/>
      <w:lvlJc w:val="left"/>
      <w:pPr>
        <w:ind w:left="4320" w:hanging="360"/>
      </w:pPr>
      <w:rPr>
        <w:rFonts w:ascii="Wingdings" w:hAnsi="Wingdings" w:hint="default"/>
      </w:rPr>
    </w:lvl>
    <w:lvl w:ilvl="6" w:tplc="24A66050">
      <w:start w:val="1"/>
      <w:numFmt w:val="bullet"/>
      <w:lvlText w:val=""/>
      <w:lvlJc w:val="left"/>
      <w:pPr>
        <w:ind w:left="5040" w:hanging="360"/>
      </w:pPr>
      <w:rPr>
        <w:rFonts w:ascii="Symbol" w:hAnsi="Symbol" w:hint="default"/>
      </w:rPr>
    </w:lvl>
    <w:lvl w:ilvl="7" w:tplc="44027200">
      <w:start w:val="1"/>
      <w:numFmt w:val="bullet"/>
      <w:lvlText w:val="o"/>
      <w:lvlJc w:val="left"/>
      <w:pPr>
        <w:ind w:left="5760" w:hanging="360"/>
      </w:pPr>
      <w:rPr>
        <w:rFonts w:ascii="Courier New" w:hAnsi="Courier New" w:hint="default"/>
      </w:rPr>
    </w:lvl>
    <w:lvl w:ilvl="8" w:tplc="F52C3962">
      <w:start w:val="1"/>
      <w:numFmt w:val="bullet"/>
      <w:lvlText w:val=""/>
      <w:lvlJc w:val="left"/>
      <w:pPr>
        <w:ind w:left="6480" w:hanging="360"/>
      </w:pPr>
      <w:rPr>
        <w:rFonts w:ascii="Wingdings" w:hAnsi="Wingdings" w:hint="default"/>
      </w:rPr>
    </w:lvl>
  </w:abstractNum>
  <w:abstractNum w:abstractNumId="2" w15:restartNumberingAfterBreak="0">
    <w:nsid w:val="02744E9F"/>
    <w:multiLevelType w:val="hybridMultilevel"/>
    <w:tmpl w:val="C7300F36"/>
    <w:lvl w:ilvl="0" w:tplc="91FA9524">
      <w:start w:val="1"/>
      <w:numFmt w:val="bullet"/>
      <w:lvlText w:val=""/>
      <w:lvlJc w:val="left"/>
      <w:pPr>
        <w:ind w:left="770" w:hanging="360"/>
      </w:pPr>
      <w:rPr>
        <w:rFonts w:ascii="Wingdings" w:hAnsi="Wingdings" w:hint="default"/>
        <w:color w:val="4472C4" w:themeColor="accent1"/>
      </w:rPr>
    </w:lvl>
    <w:lvl w:ilvl="1" w:tplc="18090003" w:tentative="1">
      <w:start w:val="1"/>
      <w:numFmt w:val="bullet"/>
      <w:lvlText w:val="o"/>
      <w:lvlJc w:val="left"/>
      <w:pPr>
        <w:ind w:left="1490" w:hanging="360"/>
      </w:pPr>
      <w:rPr>
        <w:rFonts w:ascii="Courier New" w:hAnsi="Courier New" w:cs="Courier New" w:hint="default"/>
      </w:rPr>
    </w:lvl>
    <w:lvl w:ilvl="2" w:tplc="18090005" w:tentative="1">
      <w:start w:val="1"/>
      <w:numFmt w:val="bullet"/>
      <w:lvlText w:val=""/>
      <w:lvlJc w:val="left"/>
      <w:pPr>
        <w:ind w:left="2210" w:hanging="360"/>
      </w:pPr>
      <w:rPr>
        <w:rFonts w:ascii="Wingdings" w:hAnsi="Wingdings" w:hint="default"/>
      </w:rPr>
    </w:lvl>
    <w:lvl w:ilvl="3" w:tplc="18090001" w:tentative="1">
      <w:start w:val="1"/>
      <w:numFmt w:val="bullet"/>
      <w:lvlText w:val=""/>
      <w:lvlJc w:val="left"/>
      <w:pPr>
        <w:ind w:left="2930" w:hanging="360"/>
      </w:pPr>
      <w:rPr>
        <w:rFonts w:ascii="Symbol" w:hAnsi="Symbol" w:hint="default"/>
      </w:rPr>
    </w:lvl>
    <w:lvl w:ilvl="4" w:tplc="18090003" w:tentative="1">
      <w:start w:val="1"/>
      <w:numFmt w:val="bullet"/>
      <w:lvlText w:val="o"/>
      <w:lvlJc w:val="left"/>
      <w:pPr>
        <w:ind w:left="3650" w:hanging="360"/>
      </w:pPr>
      <w:rPr>
        <w:rFonts w:ascii="Courier New" w:hAnsi="Courier New" w:cs="Courier New" w:hint="default"/>
      </w:rPr>
    </w:lvl>
    <w:lvl w:ilvl="5" w:tplc="18090005" w:tentative="1">
      <w:start w:val="1"/>
      <w:numFmt w:val="bullet"/>
      <w:lvlText w:val=""/>
      <w:lvlJc w:val="left"/>
      <w:pPr>
        <w:ind w:left="4370" w:hanging="360"/>
      </w:pPr>
      <w:rPr>
        <w:rFonts w:ascii="Wingdings" w:hAnsi="Wingdings" w:hint="default"/>
      </w:rPr>
    </w:lvl>
    <w:lvl w:ilvl="6" w:tplc="18090001" w:tentative="1">
      <w:start w:val="1"/>
      <w:numFmt w:val="bullet"/>
      <w:lvlText w:val=""/>
      <w:lvlJc w:val="left"/>
      <w:pPr>
        <w:ind w:left="5090" w:hanging="360"/>
      </w:pPr>
      <w:rPr>
        <w:rFonts w:ascii="Symbol" w:hAnsi="Symbol" w:hint="default"/>
      </w:rPr>
    </w:lvl>
    <w:lvl w:ilvl="7" w:tplc="18090003" w:tentative="1">
      <w:start w:val="1"/>
      <w:numFmt w:val="bullet"/>
      <w:lvlText w:val="o"/>
      <w:lvlJc w:val="left"/>
      <w:pPr>
        <w:ind w:left="5810" w:hanging="360"/>
      </w:pPr>
      <w:rPr>
        <w:rFonts w:ascii="Courier New" w:hAnsi="Courier New" w:cs="Courier New" w:hint="default"/>
      </w:rPr>
    </w:lvl>
    <w:lvl w:ilvl="8" w:tplc="18090005" w:tentative="1">
      <w:start w:val="1"/>
      <w:numFmt w:val="bullet"/>
      <w:lvlText w:val=""/>
      <w:lvlJc w:val="left"/>
      <w:pPr>
        <w:ind w:left="6530" w:hanging="360"/>
      </w:pPr>
      <w:rPr>
        <w:rFonts w:ascii="Wingdings" w:hAnsi="Wingdings" w:hint="default"/>
      </w:rPr>
    </w:lvl>
  </w:abstractNum>
  <w:abstractNum w:abstractNumId="3" w15:restartNumberingAfterBreak="0">
    <w:nsid w:val="0447526C"/>
    <w:multiLevelType w:val="multilevel"/>
    <w:tmpl w:val="A684B684"/>
    <w:lvl w:ilvl="0">
      <w:start w:val="1"/>
      <w:numFmt w:val="decimal"/>
      <w:lvlText w:val="%1."/>
      <w:lvlJc w:val="left"/>
      <w:pPr>
        <w:ind w:left="380" w:hanging="380"/>
      </w:pPr>
      <w:rPr>
        <w:rFonts w:hint="default"/>
      </w:rPr>
    </w:lvl>
    <w:lvl w:ilvl="1">
      <w:start w:val="1"/>
      <w:numFmt w:val="decimal"/>
      <w:lvlText w:val="5.%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5D17C2"/>
    <w:multiLevelType w:val="hybridMultilevel"/>
    <w:tmpl w:val="14462D1C"/>
    <w:lvl w:ilvl="0" w:tplc="91FA9524">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6035C63"/>
    <w:multiLevelType w:val="hybridMultilevel"/>
    <w:tmpl w:val="1166FD2C"/>
    <w:lvl w:ilvl="0" w:tplc="18090001">
      <w:start w:val="1"/>
      <w:numFmt w:val="bullet"/>
      <w:lvlText w:val=""/>
      <w:lvlJc w:val="left"/>
      <w:pPr>
        <w:ind w:left="792" w:hanging="360"/>
      </w:pPr>
      <w:rPr>
        <w:rFonts w:ascii="Symbol" w:hAnsi="Symbol" w:hint="default"/>
      </w:rPr>
    </w:lvl>
    <w:lvl w:ilvl="1" w:tplc="18090003" w:tentative="1">
      <w:start w:val="1"/>
      <w:numFmt w:val="bullet"/>
      <w:lvlText w:val="o"/>
      <w:lvlJc w:val="left"/>
      <w:pPr>
        <w:ind w:left="1512" w:hanging="360"/>
      </w:pPr>
      <w:rPr>
        <w:rFonts w:ascii="Courier New" w:hAnsi="Courier New" w:cs="Courier New" w:hint="default"/>
      </w:rPr>
    </w:lvl>
    <w:lvl w:ilvl="2" w:tplc="18090005" w:tentative="1">
      <w:start w:val="1"/>
      <w:numFmt w:val="bullet"/>
      <w:lvlText w:val=""/>
      <w:lvlJc w:val="left"/>
      <w:pPr>
        <w:ind w:left="2232" w:hanging="360"/>
      </w:pPr>
      <w:rPr>
        <w:rFonts w:ascii="Wingdings" w:hAnsi="Wingdings" w:hint="default"/>
      </w:rPr>
    </w:lvl>
    <w:lvl w:ilvl="3" w:tplc="18090001" w:tentative="1">
      <w:start w:val="1"/>
      <w:numFmt w:val="bullet"/>
      <w:lvlText w:val=""/>
      <w:lvlJc w:val="left"/>
      <w:pPr>
        <w:ind w:left="2952" w:hanging="360"/>
      </w:pPr>
      <w:rPr>
        <w:rFonts w:ascii="Symbol" w:hAnsi="Symbol" w:hint="default"/>
      </w:rPr>
    </w:lvl>
    <w:lvl w:ilvl="4" w:tplc="18090003" w:tentative="1">
      <w:start w:val="1"/>
      <w:numFmt w:val="bullet"/>
      <w:lvlText w:val="o"/>
      <w:lvlJc w:val="left"/>
      <w:pPr>
        <w:ind w:left="3672" w:hanging="360"/>
      </w:pPr>
      <w:rPr>
        <w:rFonts w:ascii="Courier New" w:hAnsi="Courier New" w:cs="Courier New" w:hint="default"/>
      </w:rPr>
    </w:lvl>
    <w:lvl w:ilvl="5" w:tplc="18090005" w:tentative="1">
      <w:start w:val="1"/>
      <w:numFmt w:val="bullet"/>
      <w:lvlText w:val=""/>
      <w:lvlJc w:val="left"/>
      <w:pPr>
        <w:ind w:left="4392" w:hanging="360"/>
      </w:pPr>
      <w:rPr>
        <w:rFonts w:ascii="Wingdings" w:hAnsi="Wingdings" w:hint="default"/>
      </w:rPr>
    </w:lvl>
    <w:lvl w:ilvl="6" w:tplc="18090001" w:tentative="1">
      <w:start w:val="1"/>
      <w:numFmt w:val="bullet"/>
      <w:lvlText w:val=""/>
      <w:lvlJc w:val="left"/>
      <w:pPr>
        <w:ind w:left="5112" w:hanging="360"/>
      </w:pPr>
      <w:rPr>
        <w:rFonts w:ascii="Symbol" w:hAnsi="Symbol" w:hint="default"/>
      </w:rPr>
    </w:lvl>
    <w:lvl w:ilvl="7" w:tplc="18090003" w:tentative="1">
      <w:start w:val="1"/>
      <w:numFmt w:val="bullet"/>
      <w:lvlText w:val="o"/>
      <w:lvlJc w:val="left"/>
      <w:pPr>
        <w:ind w:left="5832" w:hanging="360"/>
      </w:pPr>
      <w:rPr>
        <w:rFonts w:ascii="Courier New" w:hAnsi="Courier New" w:cs="Courier New" w:hint="default"/>
      </w:rPr>
    </w:lvl>
    <w:lvl w:ilvl="8" w:tplc="18090005" w:tentative="1">
      <w:start w:val="1"/>
      <w:numFmt w:val="bullet"/>
      <w:lvlText w:val=""/>
      <w:lvlJc w:val="left"/>
      <w:pPr>
        <w:ind w:left="6552" w:hanging="360"/>
      </w:pPr>
      <w:rPr>
        <w:rFonts w:ascii="Wingdings" w:hAnsi="Wingdings" w:hint="default"/>
      </w:rPr>
    </w:lvl>
  </w:abstractNum>
  <w:abstractNum w:abstractNumId="6" w15:restartNumberingAfterBreak="0">
    <w:nsid w:val="064C54E4"/>
    <w:multiLevelType w:val="hybridMultilevel"/>
    <w:tmpl w:val="005627CE"/>
    <w:lvl w:ilvl="0" w:tplc="53A44B8E">
      <w:start w:val="5"/>
      <w:numFmt w:val="bullet"/>
      <w:lvlText w:val="-"/>
      <w:lvlJc w:val="left"/>
      <w:pPr>
        <w:ind w:left="720" w:hanging="360"/>
      </w:pPr>
      <w:rPr>
        <w:rFonts w:ascii="Verdana" w:eastAsia="Times New Roman"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077D0923"/>
    <w:multiLevelType w:val="hybridMultilevel"/>
    <w:tmpl w:val="ECE6CD78"/>
    <w:lvl w:ilvl="0" w:tplc="FFFFFFFF">
      <w:start w:val="1"/>
      <w:numFmt w:val="bullet"/>
      <w:lvlText w:val=""/>
      <w:lvlJc w:val="left"/>
      <w:pPr>
        <w:ind w:left="720" w:hanging="360"/>
      </w:pPr>
      <w:rPr>
        <w:rFonts w:ascii="Wingdings" w:hAnsi="Wingdings" w:hint="default"/>
        <w:color w:val="4472C4" w:themeColor="accent1"/>
      </w:rPr>
    </w:lvl>
    <w:lvl w:ilvl="1" w:tplc="F356F500">
      <w:start w:val="1"/>
      <w:numFmt w:val="bullet"/>
      <w:lvlText w:val=""/>
      <w:lvlJc w:val="left"/>
      <w:pPr>
        <w:ind w:left="720" w:hanging="360"/>
      </w:pPr>
      <w:rPr>
        <w:rFonts w:ascii="Wingdings" w:hAnsi="Wingdings" w:hint="default"/>
        <w:color w:val="4472C4" w:themeColor="accent1"/>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9AD6210"/>
    <w:multiLevelType w:val="hybridMultilevel"/>
    <w:tmpl w:val="5CAE1B1E"/>
    <w:lvl w:ilvl="0" w:tplc="F356F500">
      <w:start w:val="1"/>
      <w:numFmt w:val="bullet"/>
      <w:lvlText w:val=""/>
      <w:lvlJc w:val="left"/>
      <w:pPr>
        <w:ind w:left="720" w:hanging="360"/>
      </w:pPr>
      <w:rPr>
        <w:rFonts w:ascii="Wingdings" w:hAnsi="Wingdings" w:hint="default"/>
        <w:color w:val="4472C4" w:themeColor="accent1"/>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09AF3349"/>
    <w:multiLevelType w:val="hybridMultilevel"/>
    <w:tmpl w:val="742E96C4"/>
    <w:lvl w:ilvl="0" w:tplc="080C0001">
      <w:start w:val="1"/>
      <w:numFmt w:val="bullet"/>
      <w:lvlText w:val=""/>
      <w:lvlJc w:val="left"/>
      <w:pPr>
        <w:ind w:left="493" w:hanging="360"/>
      </w:pPr>
      <w:rPr>
        <w:rFonts w:ascii="Symbol" w:hAnsi="Symbol" w:hint="default"/>
      </w:rPr>
    </w:lvl>
    <w:lvl w:ilvl="1" w:tplc="080C0003" w:tentative="1">
      <w:start w:val="1"/>
      <w:numFmt w:val="bullet"/>
      <w:lvlText w:val="o"/>
      <w:lvlJc w:val="left"/>
      <w:pPr>
        <w:ind w:left="1213" w:hanging="360"/>
      </w:pPr>
      <w:rPr>
        <w:rFonts w:ascii="Courier New" w:hAnsi="Courier New" w:cs="Courier New" w:hint="default"/>
      </w:rPr>
    </w:lvl>
    <w:lvl w:ilvl="2" w:tplc="080C0005" w:tentative="1">
      <w:start w:val="1"/>
      <w:numFmt w:val="bullet"/>
      <w:lvlText w:val=""/>
      <w:lvlJc w:val="left"/>
      <w:pPr>
        <w:ind w:left="1933" w:hanging="360"/>
      </w:pPr>
      <w:rPr>
        <w:rFonts w:ascii="Wingdings" w:hAnsi="Wingdings" w:hint="default"/>
      </w:rPr>
    </w:lvl>
    <w:lvl w:ilvl="3" w:tplc="080C0001" w:tentative="1">
      <w:start w:val="1"/>
      <w:numFmt w:val="bullet"/>
      <w:lvlText w:val=""/>
      <w:lvlJc w:val="left"/>
      <w:pPr>
        <w:ind w:left="2653" w:hanging="360"/>
      </w:pPr>
      <w:rPr>
        <w:rFonts w:ascii="Symbol" w:hAnsi="Symbol" w:hint="default"/>
      </w:rPr>
    </w:lvl>
    <w:lvl w:ilvl="4" w:tplc="080C0003" w:tentative="1">
      <w:start w:val="1"/>
      <w:numFmt w:val="bullet"/>
      <w:lvlText w:val="o"/>
      <w:lvlJc w:val="left"/>
      <w:pPr>
        <w:ind w:left="3373" w:hanging="360"/>
      </w:pPr>
      <w:rPr>
        <w:rFonts w:ascii="Courier New" w:hAnsi="Courier New" w:cs="Courier New" w:hint="default"/>
      </w:rPr>
    </w:lvl>
    <w:lvl w:ilvl="5" w:tplc="080C0005" w:tentative="1">
      <w:start w:val="1"/>
      <w:numFmt w:val="bullet"/>
      <w:lvlText w:val=""/>
      <w:lvlJc w:val="left"/>
      <w:pPr>
        <w:ind w:left="4093" w:hanging="360"/>
      </w:pPr>
      <w:rPr>
        <w:rFonts w:ascii="Wingdings" w:hAnsi="Wingdings" w:hint="default"/>
      </w:rPr>
    </w:lvl>
    <w:lvl w:ilvl="6" w:tplc="080C0001" w:tentative="1">
      <w:start w:val="1"/>
      <w:numFmt w:val="bullet"/>
      <w:lvlText w:val=""/>
      <w:lvlJc w:val="left"/>
      <w:pPr>
        <w:ind w:left="4813" w:hanging="360"/>
      </w:pPr>
      <w:rPr>
        <w:rFonts w:ascii="Symbol" w:hAnsi="Symbol" w:hint="default"/>
      </w:rPr>
    </w:lvl>
    <w:lvl w:ilvl="7" w:tplc="080C0003" w:tentative="1">
      <w:start w:val="1"/>
      <w:numFmt w:val="bullet"/>
      <w:lvlText w:val="o"/>
      <w:lvlJc w:val="left"/>
      <w:pPr>
        <w:ind w:left="5533" w:hanging="360"/>
      </w:pPr>
      <w:rPr>
        <w:rFonts w:ascii="Courier New" w:hAnsi="Courier New" w:cs="Courier New" w:hint="default"/>
      </w:rPr>
    </w:lvl>
    <w:lvl w:ilvl="8" w:tplc="080C0005" w:tentative="1">
      <w:start w:val="1"/>
      <w:numFmt w:val="bullet"/>
      <w:lvlText w:val=""/>
      <w:lvlJc w:val="left"/>
      <w:pPr>
        <w:ind w:left="6253" w:hanging="360"/>
      </w:pPr>
      <w:rPr>
        <w:rFonts w:ascii="Wingdings" w:hAnsi="Wingdings" w:hint="default"/>
      </w:rPr>
    </w:lvl>
  </w:abstractNum>
  <w:abstractNum w:abstractNumId="10" w15:restartNumberingAfterBreak="0">
    <w:nsid w:val="0A2D0B00"/>
    <w:multiLevelType w:val="hybridMultilevel"/>
    <w:tmpl w:val="85D0FA7C"/>
    <w:lvl w:ilvl="0" w:tplc="F356F500">
      <w:start w:val="1"/>
      <w:numFmt w:val="bullet"/>
      <w:lvlText w:val=""/>
      <w:lvlJc w:val="left"/>
      <w:pPr>
        <w:ind w:left="720" w:hanging="360"/>
      </w:pPr>
      <w:rPr>
        <w:rFonts w:ascii="Wingdings" w:hAnsi="Wingdings" w:hint="default"/>
        <w:color w:val="4472C4"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3A55AF"/>
    <w:multiLevelType w:val="hybridMultilevel"/>
    <w:tmpl w:val="29F8614E"/>
    <w:lvl w:ilvl="0" w:tplc="7A6023C8">
      <w:start w:val="56"/>
      <w:numFmt w:val="bullet"/>
      <w:lvlText w:val="-"/>
      <w:lvlJc w:val="left"/>
      <w:pPr>
        <w:ind w:left="1080" w:hanging="360"/>
      </w:pPr>
      <w:rPr>
        <w:rFonts w:ascii="Verdana" w:eastAsia="Times New Roman" w:hAnsi="Verdana"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0EA92EDE"/>
    <w:multiLevelType w:val="hybridMultilevel"/>
    <w:tmpl w:val="6BBA4990"/>
    <w:lvl w:ilvl="0" w:tplc="F27AB6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108E429B"/>
    <w:multiLevelType w:val="hybridMultilevel"/>
    <w:tmpl w:val="600AC5AA"/>
    <w:lvl w:ilvl="0" w:tplc="F356F500">
      <w:start w:val="1"/>
      <w:numFmt w:val="bullet"/>
      <w:lvlText w:val=""/>
      <w:lvlJc w:val="left"/>
      <w:pPr>
        <w:ind w:left="1080" w:hanging="360"/>
      </w:pPr>
      <w:rPr>
        <w:rFonts w:ascii="Wingdings" w:hAnsi="Wingdings" w:hint="default"/>
        <w:color w:val="4472C4" w:themeColor="accent1"/>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121D0A3A"/>
    <w:multiLevelType w:val="hybridMultilevel"/>
    <w:tmpl w:val="9F2E1B88"/>
    <w:lvl w:ilvl="0" w:tplc="91FA9524">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135B47BD"/>
    <w:multiLevelType w:val="multilevel"/>
    <w:tmpl w:val="DFD80E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37938BA"/>
    <w:multiLevelType w:val="hybridMultilevel"/>
    <w:tmpl w:val="2E4678FC"/>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13A00C27"/>
    <w:multiLevelType w:val="multilevel"/>
    <w:tmpl w:val="F238F0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5087735"/>
    <w:multiLevelType w:val="hybridMultilevel"/>
    <w:tmpl w:val="406E10BA"/>
    <w:lvl w:ilvl="0" w:tplc="F356F500">
      <w:start w:val="1"/>
      <w:numFmt w:val="bullet"/>
      <w:lvlText w:val=""/>
      <w:lvlJc w:val="left"/>
      <w:pPr>
        <w:ind w:left="795" w:hanging="360"/>
      </w:pPr>
      <w:rPr>
        <w:rFonts w:ascii="Wingdings" w:hAnsi="Wingdings" w:hint="default"/>
        <w:color w:val="4472C4" w:themeColor="accent1"/>
      </w:rPr>
    </w:lvl>
    <w:lvl w:ilvl="1" w:tplc="FFFFFFFF" w:tentative="1">
      <w:start w:val="1"/>
      <w:numFmt w:val="bullet"/>
      <w:lvlText w:val="o"/>
      <w:lvlJc w:val="left"/>
      <w:pPr>
        <w:ind w:left="1515" w:hanging="360"/>
      </w:pPr>
      <w:rPr>
        <w:rFonts w:ascii="Courier New" w:hAnsi="Courier New" w:cs="Courier New" w:hint="default"/>
      </w:rPr>
    </w:lvl>
    <w:lvl w:ilvl="2" w:tplc="FFFFFFFF" w:tentative="1">
      <w:start w:val="1"/>
      <w:numFmt w:val="bullet"/>
      <w:lvlText w:val=""/>
      <w:lvlJc w:val="left"/>
      <w:pPr>
        <w:ind w:left="2235" w:hanging="360"/>
      </w:pPr>
      <w:rPr>
        <w:rFonts w:ascii="Wingdings" w:hAnsi="Wingdings" w:hint="default"/>
      </w:rPr>
    </w:lvl>
    <w:lvl w:ilvl="3" w:tplc="FFFFFFFF" w:tentative="1">
      <w:start w:val="1"/>
      <w:numFmt w:val="bullet"/>
      <w:lvlText w:val=""/>
      <w:lvlJc w:val="left"/>
      <w:pPr>
        <w:ind w:left="2955" w:hanging="360"/>
      </w:pPr>
      <w:rPr>
        <w:rFonts w:ascii="Symbol" w:hAnsi="Symbol" w:hint="default"/>
      </w:rPr>
    </w:lvl>
    <w:lvl w:ilvl="4" w:tplc="FFFFFFFF" w:tentative="1">
      <w:start w:val="1"/>
      <w:numFmt w:val="bullet"/>
      <w:lvlText w:val="o"/>
      <w:lvlJc w:val="left"/>
      <w:pPr>
        <w:ind w:left="3675" w:hanging="360"/>
      </w:pPr>
      <w:rPr>
        <w:rFonts w:ascii="Courier New" w:hAnsi="Courier New" w:cs="Courier New" w:hint="default"/>
      </w:rPr>
    </w:lvl>
    <w:lvl w:ilvl="5" w:tplc="FFFFFFFF" w:tentative="1">
      <w:start w:val="1"/>
      <w:numFmt w:val="bullet"/>
      <w:lvlText w:val=""/>
      <w:lvlJc w:val="left"/>
      <w:pPr>
        <w:ind w:left="4395" w:hanging="360"/>
      </w:pPr>
      <w:rPr>
        <w:rFonts w:ascii="Wingdings" w:hAnsi="Wingdings" w:hint="default"/>
      </w:rPr>
    </w:lvl>
    <w:lvl w:ilvl="6" w:tplc="FFFFFFFF" w:tentative="1">
      <w:start w:val="1"/>
      <w:numFmt w:val="bullet"/>
      <w:lvlText w:val=""/>
      <w:lvlJc w:val="left"/>
      <w:pPr>
        <w:ind w:left="5115" w:hanging="360"/>
      </w:pPr>
      <w:rPr>
        <w:rFonts w:ascii="Symbol" w:hAnsi="Symbol" w:hint="default"/>
      </w:rPr>
    </w:lvl>
    <w:lvl w:ilvl="7" w:tplc="FFFFFFFF" w:tentative="1">
      <w:start w:val="1"/>
      <w:numFmt w:val="bullet"/>
      <w:lvlText w:val="o"/>
      <w:lvlJc w:val="left"/>
      <w:pPr>
        <w:ind w:left="5835" w:hanging="360"/>
      </w:pPr>
      <w:rPr>
        <w:rFonts w:ascii="Courier New" w:hAnsi="Courier New" w:cs="Courier New" w:hint="default"/>
      </w:rPr>
    </w:lvl>
    <w:lvl w:ilvl="8" w:tplc="FFFFFFFF" w:tentative="1">
      <w:start w:val="1"/>
      <w:numFmt w:val="bullet"/>
      <w:lvlText w:val=""/>
      <w:lvlJc w:val="left"/>
      <w:pPr>
        <w:ind w:left="6555" w:hanging="360"/>
      </w:pPr>
      <w:rPr>
        <w:rFonts w:ascii="Wingdings" w:hAnsi="Wingdings" w:hint="default"/>
      </w:rPr>
    </w:lvl>
  </w:abstractNum>
  <w:abstractNum w:abstractNumId="19" w15:restartNumberingAfterBreak="0">
    <w:nsid w:val="151030C5"/>
    <w:multiLevelType w:val="hybridMultilevel"/>
    <w:tmpl w:val="BF38713E"/>
    <w:lvl w:ilvl="0" w:tplc="F356F500">
      <w:start w:val="1"/>
      <w:numFmt w:val="bullet"/>
      <w:lvlText w:val=""/>
      <w:lvlJc w:val="left"/>
      <w:pPr>
        <w:ind w:left="1080" w:hanging="360"/>
      </w:pPr>
      <w:rPr>
        <w:rFonts w:ascii="Wingdings" w:hAnsi="Wingdings" w:hint="default"/>
        <w:color w:val="4472C4" w:themeColor="accen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167A0AFD"/>
    <w:multiLevelType w:val="hybridMultilevel"/>
    <w:tmpl w:val="17F472FE"/>
    <w:lvl w:ilvl="0" w:tplc="F356F500">
      <w:start w:val="1"/>
      <w:numFmt w:val="bullet"/>
      <w:lvlText w:val=""/>
      <w:lvlJc w:val="left"/>
      <w:pPr>
        <w:ind w:left="720" w:hanging="360"/>
      </w:pPr>
      <w:rPr>
        <w:rFonts w:ascii="Wingdings" w:hAnsi="Wingdings" w:hint="default"/>
        <w:color w:val="4472C4"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89DAC8A"/>
    <w:multiLevelType w:val="hybridMultilevel"/>
    <w:tmpl w:val="8F0A1118"/>
    <w:lvl w:ilvl="0" w:tplc="1F8CBDE2">
      <w:start w:val="1"/>
      <w:numFmt w:val="decimal"/>
      <w:lvlText w:val="%1."/>
      <w:lvlJc w:val="left"/>
      <w:pPr>
        <w:ind w:left="720" w:hanging="360"/>
      </w:pPr>
    </w:lvl>
    <w:lvl w:ilvl="1" w:tplc="37D2BB8E">
      <w:start w:val="1"/>
      <w:numFmt w:val="lowerLetter"/>
      <w:lvlText w:val="%2."/>
      <w:lvlJc w:val="left"/>
      <w:pPr>
        <w:ind w:left="1440" w:hanging="360"/>
      </w:pPr>
    </w:lvl>
    <w:lvl w:ilvl="2" w:tplc="BFBE7642">
      <w:start w:val="1"/>
      <w:numFmt w:val="lowerRoman"/>
      <w:lvlText w:val="%3."/>
      <w:lvlJc w:val="right"/>
      <w:pPr>
        <w:ind w:left="2160" w:hanging="180"/>
      </w:pPr>
    </w:lvl>
    <w:lvl w:ilvl="3" w:tplc="65B4455A">
      <w:start w:val="1"/>
      <w:numFmt w:val="decimal"/>
      <w:lvlText w:val="%4."/>
      <w:lvlJc w:val="left"/>
      <w:pPr>
        <w:ind w:left="2880" w:hanging="360"/>
      </w:pPr>
    </w:lvl>
    <w:lvl w:ilvl="4" w:tplc="148ED0C4">
      <w:start w:val="1"/>
      <w:numFmt w:val="lowerLetter"/>
      <w:lvlText w:val="%5."/>
      <w:lvlJc w:val="left"/>
      <w:pPr>
        <w:ind w:left="3600" w:hanging="360"/>
      </w:pPr>
    </w:lvl>
    <w:lvl w:ilvl="5" w:tplc="87E269F2">
      <w:start w:val="1"/>
      <w:numFmt w:val="lowerRoman"/>
      <w:lvlText w:val="%6."/>
      <w:lvlJc w:val="right"/>
      <w:pPr>
        <w:ind w:left="4320" w:hanging="180"/>
      </w:pPr>
    </w:lvl>
    <w:lvl w:ilvl="6" w:tplc="D486B36C">
      <w:start w:val="1"/>
      <w:numFmt w:val="decimal"/>
      <w:lvlText w:val="%7."/>
      <w:lvlJc w:val="left"/>
      <w:pPr>
        <w:ind w:left="5040" w:hanging="360"/>
      </w:pPr>
    </w:lvl>
    <w:lvl w:ilvl="7" w:tplc="C32AD602">
      <w:start w:val="1"/>
      <w:numFmt w:val="lowerLetter"/>
      <w:lvlText w:val="%8."/>
      <w:lvlJc w:val="left"/>
      <w:pPr>
        <w:ind w:left="5760" w:hanging="360"/>
      </w:pPr>
    </w:lvl>
    <w:lvl w:ilvl="8" w:tplc="89A864E0">
      <w:start w:val="1"/>
      <w:numFmt w:val="lowerRoman"/>
      <w:lvlText w:val="%9."/>
      <w:lvlJc w:val="right"/>
      <w:pPr>
        <w:ind w:left="6480" w:hanging="180"/>
      </w:pPr>
    </w:lvl>
  </w:abstractNum>
  <w:abstractNum w:abstractNumId="22" w15:restartNumberingAfterBreak="0">
    <w:nsid w:val="1AA90120"/>
    <w:multiLevelType w:val="hybridMultilevel"/>
    <w:tmpl w:val="90547B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1C346E63"/>
    <w:multiLevelType w:val="hybridMultilevel"/>
    <w:tmpl w:val="FC2A947E"/>
    <w:lvl w:ilvl="0" w:tplc="497ED4FE">
      <w:start w:val="1"/>
      <w:numFmt w:val="bullet"/>
      <w:lvlText w:val=""/>
      <w:lvlJc w:val="left"/>
      <w:pPr>
        <w:ind w:left="720" w:hanging="360"/>
      </w:pPr>
      <w:rPr>
        <w:rFonts w:ascii="Symbol" w:hAnsi="Symbol" w:hint="default"/>
      </w:rPr>
    </w:lvl>
    <w:lvl w:ilvl="1" w:tplc="903244EC">
      <w:start w:val="1"/>
      <w:numFmt w:val="bullet"/>
      <w:lvlText w:val="o"/>
      <w:lvlJc w:val="left"/>
      <w:pPr>
        <w:ind w:left="1440" w:hanging="360"/>
      </w:pPr>
      <w:rPr>
        <w:rFonts w:ascii="Courier New" w:hAnsi="Courier New" w:hint="default"/>
      </w:rPr>
    </w:lvl>
    <w:lvl w:ilvl="2" w:tplc="7CA0AC76">
      <w:start w:val="1"/>
      <w:numFmt w:val="bullet"/>
      <w:lvlText w:val=""/>
      <w:lvlJc w:val="left"/>
      <w:pPr>
        <w:ind w:left="2160" w:hanging="360"/>
      </w:pPr>
      <w:rPr>
        <w:rFonts w:ascii="Wingdings" w:hAnsi="Wingdings" w:hint="default"/>
      </w:rPr>
    </w:lvl>
    <w:lvl w:ilvl="3" w:tplc="B0926AC0">
      <w:start w:val="1"/>
      <w:numFmt w:val="bullet"/>
      <w:lvlText w:val=""/>
      <w:lvlJc w:val="left"/>
      <w:pPr>
        <w:ind w:left="2880" w:hanging="360"/>
      </w:pPr>
      <w:rPr>
        <w:rFonts w:ascii="Symbol" w:hAnsi="Symbol" w:hint="default"/>
      </w:rPr>
    </w:lvl>
    <w:lvl w:ilvl="4" w:tplc="A0D0E266">
      <w:start w:val="1"/>
      <w:numFmt w:val="bullet"/>
      <w:lvlText w:val="o"/>
      <w:lvlJc w:val="left"/>
      <w:pPr>
        <w:ind w:left="3600" w:hanging="360"/>
      </w:pPr>
      <w:rPr>
        <w:rFonts w:ascii="Courier New" w:hAnsi="Courier New" w:hint="default"/>
      </w:rPr>
    </w:lvl>
    <w:lvl w:ilvl="5" w:tplc="147E6A66">
      <w:start w:val="1"/>
      <w:numFmt w:val="bullet"/>
      <w:lvlText w:val=""/>
      <w:lvlJc w:val="left"/>
      <w:pPr>
        <w:ind w:left="4320" w:hanging="360"/>
      </w:pPr>
      <w:rPr>
        <w:rFonts w:ascii="Wingdings" w:hAnsi="Wingdings" w:hint="default"/>
      </w:rPr>
    </w:lvl>
    <w:lvl w:ilvl="6" w:tplc="3A902500">
      <w:start w:val="1"/>
      <w:numFmt w:val="bullet"/>
      <w:lvlText w:val=""/>
      <w:lvlJc w:val="left"/>
      <w:pPr>
        <w:ind w:left="5040" w:hanging="360"/>
      </w:pPr>
      <w:rPr>
        <w:rFonts w:ascii="Symbol" w:hAnsi="Symbol" w:hint="default"/>
      </w:rPr>
    </w:lvl>
    <w:lvl w:ilvl="7" w:tplc="B99E6334">
      <w:start w:val="1"/>
      <w:numFmt w:val="bullet"/>
      <w:lvlText w:val="o"/>
      <w:lvlJc w:val="left"/>
      <w:pPr>
        <w:ind w:left="5760" w:hanging="360"/>
      </w:pPr>
      <w:rPr>
        <w:rFonts w:ascii="Courier New" w:hAnsi="Courier New" w:hint="default"/>
      </w:rPr>
    </w:lvl>
    <w:lvl w:ilvl="8" w:tplc="40C07612">
      <w:start w:val="1"/>
      <w:numFmt w:val="bullet"/>
      <w:lvlText w:val=""/>
      <w:lvlJc w:val="left"/>
      <w:pPr>
        <w:ind w:left="6480" w:hanging="360"/>
      </w:pPr>
      <w:rPr>
        <w:rFonts w:ascii="Wingdings" w:hAnsi="Wingdings" w:hint="default"/>
      </w:rPr>
    </w:lvl>
  </w:abstractNum>
  <w:abstractNum w:abstractNumId="24" w15:restartNumberingAfterBreak="0">
    <w:nsid w:val="1C4FD6AC"/>
    <w:multiLevelType w:val="hybridMultilevel"/>
    <w:tmpl w:val="FFFFFFFF"/>
    <w:lvl w:ilvl="0" w:tplc="3B988830">
      <w:start w:val="1"/>
      <w:numFmt w:val="decimal"/>
      <w:lvlText w:val="%1."/>
      <w:lvlJc w:val="left"/>
      <w:pPr>
        <w:ind w:left="720" w:hanging="360"/>
      </w:pPr>
    </w:lvl>
    <w:lvl w:ilvl="1" w:tplc="0A943874">
      <w:start w:val="1"/>
      <w:numFmt w:val="lowerLetter"/>
      <w:lvlText w:val="%2."/>
      <w:lvlJc w:val="left"/>
      <w:pPr>
        <w:ind w:left="1440" w:hanging="360"/>
      </w:pPr>
    </w:lvl>
    <w:lvl w:ilvl="2" w:tplc="2A08BDA8">
      <w:start w:val="1"/>
      <w:numFmt w:val="lowerRoman"/>
      <w:lvlText w:val="%3."/>
      <w:lvlJc w:val="right"/>
      <w:pPr>
        <w:ind w:left="2160" w:hanging="180"/>
      </w:pPr>
    </w:lvl>
    <w:lvl w:ilvl="3" w:tplc="76120264">
      <w:start w:val="1"/>
      <w:numFmt w:val="decimal"/>
      <w:lvlText w:val="%4."/>
      <w:lvlJc w:val="left"/>
      <w:pPr>
        <w:ind w:left="2880" w:hanging="360"/>
      </w:pPr>
    </w:lvl>
    <w:lvl w:ilvl="4" w:tplc="31422C4C">
      <w:start w:val="1"/>
      <w:numFmt w:val="lowerLetter"/>
      <w:lvlText w:val="%5."/>
      <w:lvlJc w:val="left"/>
      <w:pPr>
        <w:ind w:left="3600" w:hanging="360"/>
      </w:pPr>
    </w:lvl>
    <w:lvl w:ilvl="5" w:tplc="DBAAC64E">
      <w:start w:val="1"/>
      <w:numFmt w:val="lowerRoman"/>
      <w:lvlText w:val="%6."/>
      <w:lvlJc w:val="right"/>
      <w:pPr>
        <w:ind w:left="4320" w:hanging="180"/>
      </w:pPr>
    </w:lvl>
    <w:lvl w:ilvl="6" w:tplc="1CA8A00A">
      <w:start w:val="1"/>
      <w:numFmt w:val="decimal"/>
      <w:lvlText w:val="%7."/>
      <w:lvlJc w:val="left"/>
      <w:pPr>
        <w:ind w:left="5040" w:hanging="360"/>
      </w:pPr>
    </w:lvl>
    <w:lvl w:ilvl="7" w:tplc="06345C88">
      <w:start w:val="1"/>
      <w:numFmt w:val="lowerLetter"/>
      <w:lvlText w:val="%8."/>
      <w:lvlJc w:val="left"/>
      <w:pPr>
        <w:ind w:left="5760" w:hanging="360"/>
      </w:pPr>
    </w:lvl>
    <w:lvl w:ilvl="8" w:tplc="3E14D5B8">
      <w:start w:val="1"/>
      <w:numFmt w:val="lowerRoman"/>
      <w:lvlText w:val="%9."/>
      <w:lvlJc w:val="right"/>
      <w:pPr>
        <w:ind w:left="6480" w:hanging="180"/>
      </w:pPr>
    </w:lvl>
  </w:abstractNum>
  <w:abstractNum w:abstractNumId="25" w15:restartNumberingAfterBreak="0">
    <w:nsid w:val="1DA04A60"/>
    <w:multiLevelType w:val="hybridMultilevel"/>
    <w:tmpl w:val="24ECC0EE"/>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1E450666"/>
    <w:multiLevelType w:val="hybridMultilevel"/>
    <w:tmpl w:val="6D303CA6"/>
    <w:lvl w:ilvl="0" w:tplc="F356F500">
      <w:start w:val="1"/>
      <w:numFmt w:val="bullet"/>
      <w:lvlText w:val=""/>
      <w:lvlJc w:val="left"/>
      <w:pPr>
        <w:ind w:left="360" w:hanging="360"/>
      </w:pPr>
      <w:rPr>
        <w:rFonts w:ascii="Wingdings" w:hAnsi="Wingdings" w:hint="default"/>
        <w:color w:val="4472C4" w:themeColor="accen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EF56302"/>
    <w:multiLevelType w:val="hybridMultilevel"/>
    <w:tmpl w:val="41A0FA5C"/>
    <w:lvl w:ilvl="0" w:tplc="F356F500">
      <w:start w:val="1"/>
      <w:numFmt w:val="bullet"/>
      <w:lvlText w:val=""/>
      <w:lvlJc w:val="left"/>
      <w:pPr>
        <w:ind w:left="795" w:hanging="360"/>
      </w:pPr>
      <w:rPr>
        <w:rFonts w:ascii="Wingdings" w:hAnsi="Wingdings" w:hint="default"/>
        <w:color w:val="4472C4" w:themeColor="accent1"/>
      </w:rPr>
    </w:lvl>
    <w:lvl w:ilvl="1" w:tplc="FFFFFFFF" w:tentative="1">
      <w:start w:val="1"/>
      <w:numFmt w:val="bullet"/>
      <w:lvlText w:val="o"/>
      <w:lvlJc w:val="left"/>
      <w:pPr>
        <w:ind w:left="1515" w:hanging="360"/>
      </w:pPr>
      <w:rPr>
        <w:rFonts w:ascii="Courier New" w:hAnsi="Courier New" w:cs="Courier New" w:hint="default"/>
      </w:rPr>
    </w:lvl>
    <w:lvl w:ilvl="2" w:tplc="FFFFFFFF" w:tentative="1">
      <w:start w:val="1"/>
      <w:numFmt w:val="bullet"/>
      <w:lvlText w:val=""/>
      <w:lvlJc w:val="left"/>
      <w:pPr>
        <w:ind w:left="2235" w:hanging="360"/>
      </w:pPr>
      <w:rPr>
        <w:rFonts w:ascii="Wingdings" w:hAnsi="Wingdings" w:hint="default"/>
      </w:rPr>
    </w:lvl>
    <w:lvl w:ilvl="3" w:tplc="FFFFFFFF" w:tentative="1">
      <w:start w:val="1"/>
      <w:numFmt w:val="bullet"/>
      <w:lvlText w:val=""/>
      <w:lvlJc w:val="left"/>
      <w:pPr>
        <w:ind w:left="2955" w:hanging="360"/>
      </w:pPr>
      <w:rPr>
        <w:rFonts w:ascii="Symbol" w:hAnsi="Symbol" w:hint="default"/>
      </w:rPr>
    </w:lvl>
    <w:lvl w:ilvl="4" w:tplc="FFFFFFFF" w:tentative="1">
      <w:start w:val="1"/>
      <w:numFmt w:val="bullet"/>
      <w:lvlText w:val="o"/>
      <w:lvlJc w:val="left"/>
      <w:pPr>
        <w:ind w:left="3675" w:hanging="360"/>
      </w:pPr>
      <w:rPr>
        <w:rFonts w:ascii="Courier New" w:hAnsi="Courier New" w:cs="Courier New" w:hint="default"/>
      </w:rPr>
    </w:lvl>
    <w:lvl w:ilvl="5" w:tplc="FFFFFFFF" w:tentative="1">
      <w:start w:val="1"/>
      <w:numFmt w:val="bullet"/>
      <w:lvlText w:val=""/>
      <w:lvlJc w:val="left"/>
      <w:pPr>
        <w:ind w:left="4395" w:hanging="360"/>
      </w:pPr>
      <w:rPr>
        <w:rFonts w:ascii="Wingdings" w:hAnsi="Wingdings" w:hint="default"/>
      </w:rPr>
    </w:lvl>
    <w:lvl w:ilvl="6" w:tplc="FFFFFFFF" w:tentative="1">
      <w:start w:val="1"/>
      <w:numFmt w:val="bullet"/>
      <w:lvlText w:val=""/>
      <w:lvlJc w:val="left"/>
      <w:pPr>
        <w:ind w:left="5115" w:hanging="360"/>
      </w:pPr>
      <w:rPr>
        <w:rFonts w:ascii="Symbol" w:hAnsi="Symbol" w:hint="default"/>
      </w:rPr>
    </w:lvl>
    <w:lvl w:ilvl="7" w:tplc="FFFFFFFF" w:tentative="1">
      <w:start w:val="1"/>
      <w:numFmt w:val="bullet"/>
      <w:lvlText w:val="o"/>
      <w:lvlJc w:val="left"/>
      <w:pPr>
        <w:ind w:left="5835" w:hanging="360"/>
      </w:pPr>
      <w:rPr>
        <w:rFonts w:ascii="Courier New" w:hAnsi="Courier New" w:cs="Courier New" w:hint="default"/>
      </w:rPr>
    </w:lvl>
    <w:lvl w:ilvl="8" w:tplc="FFFFFFFF" w:tentative="1">
      <w:start w:val="1"/>
      <w:numFmt w:val="bullet"/>
      <w:lvlText w:val=""/>
      <w:lvlJc w:val="left"/>
      <w:pPr>
        <w:ind w:left="6555" w:hanging="360"/>
      </w:pPr>
      <w:rPr>
        <w:rFonts w:ascii="Wingdings" w:hAnsi="Wingdings" w:hint="default"/>
      </w:rPr>
    </w:lvl>
  </w:abstractNum>
  <w:abstractNum w:abstractNumId="28" w15:restartNumberingAfterBreak="0">
    <w:nsid w:val="20673ED5"/>
    <w:multiLevelType w:val="multilevel"/>
    <w:tmpl w:val="656EBB6A"/>
    <w:lvl w:ilvl="0">
      <w:start w:val="2"/>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1597D99"/>
    <w:multiLevelType w:val="hybridMultilevel"/>
    <w:tmpl w:val="287442B4"/>
    <w:lvl w:ilvl="0" w:tplc="F356F500">
      <w:start w:val="1"/>
      <w:numFmt w:val="bullet"/>
      <w:lvlText w:val=""/>
      <w:lvlJc w:val="left"/>
      <w:pPr>
        <w:ind w:left="1080" w:hanging="360"/>
      </w:pPr>
      <w:rPr>
        <w:rFonts w:ascii="Wingdings" w:hAnsi="Wingdings" w:hint="default"/>
        <w:color w:val="4472C4" w:themeColor="accen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21C408AF"/>
    <w:multiLevelType w:val="hybridMultilevel"/>
    <w:tmpl w:val="3D4E3DA4"/>
    <w:lvl w:ilvl="0" w:tplc="91FA9524">
      <w:start w:val="1"/>
      <w:numFmt w:val="bullet"/>
      <w:lvlText w:val=""/>
      <w:lvlJc w:val="left"/>
      <w:pPr>
        <w:ind w:left="720" w:hanging="360"/>
      </w:pPr>
      <w:rPr>
        <w:rFonts w:ascii="Wingdings" w:hAnsi="Wingdings" w:hint="default"/>
        <w:color w:val="4472C4" w:themeColor="accent1"/>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226253B4"/>
    <w:multiLevelType w:val="multilevel"/>
    <w:tmpl w:val="CB2ABB9E"/>
    <w:lvl w:ilvl="0">
      <w:start w:val="5"/>
      <w:numFmt w:val="decimal"/>
      <w:lvlText w:val="%1."/>
      <w:lvlJc w:val="left"/>
      <w:pPr>
        <w:ind w:left="630" w:hanging="630"/>
      </w:pPr>
      <w:rPr>
        <w:rFonts w:hint="default"/>
        <w:i w:val="0"/>
        <w:iCs w:val="0"/>
        <w:caps w:val="0"/>
        <w:smallCaps w:val="0"/>
        <w:strike w:val="0"/>
        <w:dstrike w:val="0"/>
        <w:vanish w:val="0"/>
        <w:color w:val="00206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6.%2."/>
      <w:lvlJc w:val="left"/>
      <w:pPr>
        <w:ind w:left="2704" w:hanging="720"/>
      </w:pPr>
      <w:rPr>
        <w:rFonts w:hint="default"/>
      </w:rPr>
    </w:lvl>
    <w:lvl w:ilvl="2">
      <w:start w:val="1"/>
      <w:numFmt w:val="decimal"/>
      <w:lvlText w:val="%1.%2.%3."/>
      <w:lvlJc w:val="left"/>
      <w:pPr>
        <w:ind w:left="5048" w:hanging="1080"/>
      </w:pPr>
      <w:rPr>
        <w:rFonts w:hint="default"/>
      </w:rPr>
    </w:lvl>
    <w:lvl w:ilvl="3">
      <w:start w:val="1"/>
      <w:numFmt w:val="decimal"/>
      <w:lvlText w:val="%1.%2.%3.%4."/>
      <w:lvlJc w:val="left"/>
      <w:pPr>
        <w:ind w:left="7392" w:hanging="1440"/>
      </w:pPr>
      <w:rPr>
        <w:rFonts w:hint="default"/>
      </w:rPr>
    </w:lvl>
    <w:lvl w:ilvl="4">
      <w:start w:val="1"/>
      <w:numFmt w:val="decimal"/>
      <w:lvlText w:val="%1.%2.%3.%4.%5."/>
      <w:lvlJc w:val="left"/>
      <w:pPr>
        <w:ind w:left="9736" w:hanging="1800"/>
      </w:pPr>
      <w:rPr>
        <w:rFonts w:hint="default"/>
      </w:rPr>
    </w:lvl>
    <w:lvl w:ilvl="5">
      <w:start w:val="1"/>
      <w:numFmt w:val="decimal"/>
      <w:lvlText w:val="%1.%2"/>
      <w:lvlJc w:val="left"/>
      <w:pPr>
        <w:ind w:left="1208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16768" w:hanging="2880"/>
      </w:pPr>
      <w:rPr>
        <w:rFonts w:hint="default"/>
      </w:rPr>
    </w:lvl>
    <w:lvl w:ilvl="8">
      <w:start w:val="1"/>
      <w:numFmt w:val="decimal"/>
      <w:lvlText w:val="%1.%2.%3.%4.%5.%6.%7.%8.%9."/>
      <w:lvlJc w:val="left"/>
      <w:pPr>
        <w:ind w:left="19112" w:hanging="3240"/>
      </w:pPr>
      <w:rPr>
        <w:rFonts w:hint="default"/>
      </w:rPr>
    </w:lvl>
  </w:abstractNum>
  <w:abstractNum w:abstractNumId="32" w15:restartNumberingAfterBreak="0">
    <w:nsid w:val="235D6C91"/>
    <w:multiLevelType w:val="hybridMultilevel"/>
    <w:tmpl w:val="A516AE38"/>
    <w:lvl w:ilvl="0" w:tplc="F356F500">
      <w:start w:val="1"/>
      <w:numFmt w:val="bullet"/>
      <w:lvlText w:val=""/>
      <w:lvlJc w:val="left"/>
      <w:pPr>
        <w:ind w:left="720" w:hanging="360"/>
      </w:pPr>
      <w:rPr>
        <w:rFonts w:ascii="Wingdings" w:hAnsi="Wingdings" w:hint="default"/>
        <w:color w:val="4472C4" w:themeColor="accent1"/>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5A4492F"/>
    <w:multiLevelType w:val="hybridMultilevel"/>
    <w:tmpl w:val="B2DC1C68"/>
    <w:lvl w:ilvl="0" w:tplc="91FA9524">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26751E26"/>
    <w:multiLevelType w:val="hybridMultilevel"/>
    <w:tmpl w:val="21CCE782"/>
    <w:lvl w:ilvl="0" w:tplc="F356F500">
      <w:start w:val="1"/>
      <w:numFmt w:val="bullet"/>
      <w:lvlText w:val=""/>
      <w:lvlJc w:val="left"/>
      <w:pPr>
        <w:ind w:left="720" w:hanging="360"/>
      </w:pPr>
      <w:rPr>
        <w:rFonts w:ascii="Wingdings" w:hAnsi="Wingdings" w:hint="default"/>
        <w:color w:val="4472C4" w:themeColor="accent1"/>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26EC591E"/>
    <w:multiLevelType w:val="hybridMultilevel"/>
    <w:tmpl w:val="43241614"/>
    <w:lvl w:ilvl="0" w:tplc="91FA9524">
      <w:start w:val="1"/>
      <w:numFmt w:val="bullet"/>
      <w:lvlText w:val=""/>
      <w:lvlJc w:val="left"/>
      <w:pPr>
        <w:ind w:left="720" w:hanging="360"/>
      </w:pPr>
      <w:rPr>
        <w:rFonts w:ascii="Wingdings" w:hAnsi="Wingdings" w:hint="default"/>
        <w:color w:val="4472C4"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27DA14D2"/>
    <w:multiLevelType w:val="hybridMultilevel"/>
    <w:tmpl w:val="2F08947A"/>
    <w:lvl w:ilvl="0" w:tplc="F7843F02">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28591351"/>
    <w:multiLevelType w:val="hybridMultilevel"/>
    <w:tmpl w:val="0A8009E6"/>
    <w:lvl w:ilvl="0" w:tplc="F356F500">
      <w:start w:val="1"/>
      <w:numFmt w:val="bullet"/>
      <w:lvlText w:val=""/>
      <w:lvlJc w:val="left"/>
      <w:pPr>
        <w:ind w:left="720" w:hanging="360"/>
      </w:pPr>
      <w:rPr>
        <w:rFonts w:ascii="Wingdings" w:hAnsi="Wingdings" w:hint="default"/>
        <w:color w:val="4472C4" w:themeColor="accent1"/>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C96EAC5"/>
    <w:multiLevelType w:val="hybridMultilevel"/>
    <w:tmpl w:val="FFFFFFFF"/>
    <w:lvl w:ilvl="0" w:tplc="F3221EBC">
      <w:start w:val="1"/>
      <w:numFmt w:val="bullet"/>
      <w:lvlText w:val=""/>
      <w:lvlJc w:val="left"/>
      <w:pPr>
        <w:ind w:left="720" w:hanging="360"/>
      </w:pPr>
      <w:rPr>
        <w:rFonts w:ascii="Wingdings" w:hAnsi="Wingdings" w:hint="default"/>
      </w:rPr>
    </w:lvl>
    <w:lvl w:ilvl="1" w:tplc="6BE8094E">
      <w:start w:val="1"/>
      <w:numFmt w:val="bullet"/>
      <w:lvlText w:val="o"/>
      <w:lvlJc w:val="left"/>
      <w:pPr>
        <w:ind w:left="1440" w:hanging="360"/>
      </w:pPr>
      <w:rPr>
        <w:rFonts w:ascii="Courier New" w:hAnsi="Courier New" w:hint="default"/>
      </w:rPr>
    </w:lvl>
    <w:lvl w:ilvl="2" w:tplc="490E12D0">
      <w:start w:val="1"/>
      <w:numFmt w:val="bullet"/>
      <w:lvlText w:val=""/>
      <w:lvlJc w:val="left"/>
      <w:pPr>
        <w:ind w:left="2160" w:hanging="360"/>
      </w:pPr>
      <w:rPr>
        <w:rFonts w:ascii="Wingdings" w:hAnsi="Wingdings" w:hint="default"/>
      </w:rPr>
    </w:lvl>
    <w:lvl w:ilvl="3" w:tplc="FB72F1C0">
      <w:start w:val="1"/>
      <w:numFmt w:val="bullet"/>
      <w:lvlText w:val=""/>
      <w:lvlJc w:val="left"/>
      <w:pPr>
        <w:ind w:left="2880" w:hanging="360"/>
      </w:pPr>
      <w:rPr>
        <w:rFonts w:ascii="Symbol" w:hAnsi="Symbol" w:hint="default"/>
      </w:rPr>
    </w:lvl>
    <w:lvl w:ilvl="4" w:tplc="F5C8AE24">
      <w:start w:val="1"/>
      <w:numFmt w:val="bullet"/>
      <w:lvlText w:val="o"/>
      <w:lvlJc w:val="left"/>
      <w:pPr>
        <w:ind w:left="3600" w:hanging="360"/>
      </w:pPr>
      <w:rPr>
        <w:rFonts w:ascii="Courier New" w:hAnsi="Courier New" w:hint="default"/>
      </w:rPr>
    </w:lvl>
    <w:lvl w:ilvl="5" w:tplc="08367E84">
      <w:start w:val="1"/>
      <w:numFmt w:val="bullet"/>
      <w:lvlText w:val=""/>
      <w:lvlJc w:val="left"/>
      <w:pPr>
        <w:ind w:left="4320" w:hanging="360"/>
      </w:pPr>
      <w:rPr>
        <w:rFonts w:ascii="Wingdings" w:hAnsi="Wingdings" w:hint="default"/>
      </w:rPr>
    </w:lvl>
    <w:lvl w:ilvl="6" w:tplc="EF563472">
      <w:start w:val="1"/>
      <w:numFmt w:val="bullet"/>
      <w:lvlText w:val=""/>
      <w:lvlJc w:val="left"/>
      <w:pPr>
        <w:ind w:left="5040" w:hanging="360"/>
      </w:pPr>
      <w:rPr>
        <w:rFonts w:ascii="Symbol" w:hAnsi="Symbol" w:hint="default"/>
      </w:rPr>
    </w:lvl>
    <w:lvl w:ilvl="7" w:tplc="40EACB0C">
      <w:start w:val="1"/>
      <w:numFmt w:val="bullet"/>
      <w:lvlText w:val="o"/>
      <w:lvlJc w:val="left"/>
      <w:pPr>
        <w:ind w:left="5760" w:hanging="360"/>
      </w:pPr>
      <w:rPr>
        <w:rFonts w:ascii="Courier New" w:hAnsi="Courier New" w:hint="default"/>
      </w:rPr>
    </w:lvl>
    <w:lvl w:ilvl="8" w:tplc="24A6640A">
      <w:start w:val="1"/>
      <w:numFmt w:val="bullet"/>
      <w:lvlText w:val=""/>
      <w:lvlJc w:val="left"/>
      <w:pPr>
        <w:ind w:left="6480" w:hanging="360"/>
      </w:pPr>
      <w:rPr>
        <w:rFonts w:ascii="Wingdings" w:hAnsi="Wingdings" w:hint="default"/>
      </w:rPr>
    </w:lvl>
  </w:abstractNum>
  <w:abstractNum w:abstractNumId="39" w15:restartNumberingAfterBreak="0">
    <w:nsid w:val="2E37366C"/>
    <w:multiLevelType w:val="hybridMultilevel"/>
    <w:tmpl w:val="DD545E88"/>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2EE9579B"/>
    <w:multiLevelType w:val="hybridMultilevel"/>
    <w:tmpl w:val="C7E2AC94"/>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15:restartNumberingAfterBreak="0">
    <w:nsid w:val="30723A3F"/>
    <w:multiLevelType w:val="hybridMultilevel"/>
    <w:tmpl w:val="09EAC2F0"/>
    <w:lvl w:ilvl="0" w:tplc="F27AB6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15:restartNumberingAfterBreak="0">
    <w:nsid w:val="30FD29CF"/>
    <w:multiLevelType w:val="multilevel"/>
    <w:tmpl w:val="D6B4695A"/>
    <w:lvl w:ilvl="0">
      <w:start w:val="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4472C4" w:themeColor="accent1"/>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2257521"/>
    <w:multiLevelType w:val="multilevel"/>
    <w:tmpl w:val="83EA1146"/>
    <w:lvl w:ilvl="0">
      <w:start w:val="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35F75D6"/>
    <w:multiLevelType w:val="hybridMultilevel"/>
    <w:tmpl w:val="A5E83518"/>
    <w:lvl w:ilvl="0" w:tplc="91FA9524">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33D06205"/>
    <w:multiLevelType w:val="multilevel"/>
    <w:tmpl w:val="4D1CA6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5C756FD"/>
    <w:multiLevelType w:val="hybridMultilevel"/>
    <w:tmpl w:val="CE1202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3743492E"/>
    <w:multiLevelType w:val="hybridMultilevel"/>
    <w:tmpl w:val="38A2E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7D2339F"/>
    <w:multiLevelType w:val="hybridMultilevel"/>
    <w:tmpl w:val="14845896"/>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15:restartNumberingAfterBreak="0">
    <w:nsid w:val="37E87977"/>
    <w:multiLevelType w:val="hybridMultilevel"/>
    <w:tmpl w:val="8AF4187E"/>
    <w:lvl w:ilvl="0" w:tplc="F27AB6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0" w15:restartNumberingAfterBreak="0">
    <w:nsid w:val="39897C89"/>
    <w:multiLevelType w:val="multilevel"/>
    <w:tmpl w:val="D0EC7F3E"/>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4472C4" w:themeColor="accent1"/>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39EA7F18"/>
    <w:multiLevelType w:val="hybridMultilevel"/>
    <w:tmpl w:val="1A20BD24"/>
    <w:lvl w:ilvl="0" w:tplc="E90C0DD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CAF41C1"/>
    <w:multiLevelType w:val="hybridMultilevel"/>
    <w:tmpl w:val="68DE999E"/>
    <w:lvl w:ilvl="0" w:tplc="69D6C600">
      <w:numFmt w:val="bullet"/>
      <w:lvlText w:val="•"/>
      <w:lvlJc w:val="left"/>
      <w:pPr>
        <w:ind w:left="1080" w:hanging="72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3" w15:restartNumberingAfterBreak="0">
    <w:nsid w:val="3CAF4243"/>
    <w:multiLevelType w:val="hybridMultilevel"/>
    <w:tmpl w:val="30327940"/>
    <w:lvl w:ilvl="0" w:tplc="FFFFFFFF">
      <w:start w:val="1"/>
      <w:numFmt w:val="bullet"/>
      <w:lvlText w:val=""/>
      <w:lvlJc w:val="left"/>
      <w:pPr>
        <w:ind w:left="1080" w:hanging="360"/>
      </w:pPr>
      <w:rPr>
        <w:rFonts w:ascii="Wingdings" w:hAnsi="Wingdings" w:hint="default"/>
        <w:color w:val="4472C4" w:themeColor="accent1"/>
      </w:rPr>
    </w:lvl>
    <w:lvl w:ilvl="1" w:tplc="FFFFFFFF">
      <w:start w:val="1"/>
      <w:numFmt w:val="bullet"/>
      <w:lvlText w:val="o"/>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hint="default"/>
      </w:rPr>
    </w:lvl>
    <w:lvl w:ilvl="8" w:tplc="FFFFFFFF">
      <w:start w:val="1"/>
      <w:numFmt w:val="bullet"/>
      <w:lvlText w:val=""/>
      <w:lvlJc w:val="left"/>
      <w:pPr>
        <w:ind w:left="6840" w:hanging="360"/>
      </w:pPr>
      <w:rPr>
        <w:rFonts w:ascii="Wingdings" w:hAnsi="Wingdings" w:hint="default"/>
      </w:rPr>
    </w:lvl>
  </w:abstractNum>
  <w:abstractNum w:abstractNumId="54" w15:restartNumberingAfterBreak="0">
    <w:nsid w:val="3CAF5166"/>
    <w:multiLevelType w:val="hybridMultilevel"/>
    <w:tmpl w:val="DE783FA0"/>
    <w:lvl w:ilvl="0" w:tplc="F27AB6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5" w15:restartNumberingAfterBreak="0">
    <w:nsid w:val="43E97965"/>
    <w:multiLevelType w:val="hybridMultilevel"/>
    <w:tmpl w:val="CF1C02C6"/>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6" w15:restartNumberingAfterBreak="0">
    <w:nsid w:val="44181E80"/>
    <w:multiLevelType w:val="hybridMultilevel"/>
    <w:tmpl w:val="A76208E0"/>
    <w:lvl w:ilvl="0" w:tplc="F27AB6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7" w15:restartNumberingAfterBreak="0">
    <w:nsid w:val="46A72A6D"/>
    <w:multiLevelType w:val="hybridMultilevel"/>
    <w:tmpl w:val="991EC236"/>
    <w:lvl w:ilvl="0" w:tplc="F356F500">
      <w:start w:val="1"/>
      <w:numFmt w:val="bullet"/>
      <w:lvlText w:val=""/>
      <w:lvlJc w:val="left"/>
      <w:pPr>
        <w:ind w:left="786" w:hanging="360"/>
      </w:pPr>
      <w:rPr>
        <w:rFonts w:ascii="Wingdings" w:hAnsi="Wingdings" w:hint="default"/>
        <w:color w:val="4472C4" w:themeColor="accent1"/>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abstractNum w:abstractNumId="58" w15:restartNumberingAfterBreak="0">
    <w:nsid w:val="48703A14"/>
    <w:multiLevelType w:val="hybridMultilevel"/>
    <w:tmpl w:val="37424DAA"/>
    <w:lvl w:ilvl="0" w:tplc="18090005">
      <w:start w:val="1"/>
      <w:numFmt w:val="bullet"/>
      <w:lvlText w:val=""/>
      <w:lvlJc w:val="left"/>
      <w:pPr>
        <w:ind w:left="720" w:hanging="360"/>
      </w:pPr>
      <w:rPr>
        <w:rFonts w:ascii="Wingdings" w:hAnsi="Wingdings" w:hint="default"/>
        <w:color w:val="4472C4"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8744FB6"/>
    <w:multiLevelType w:val="hybridMultilevel"/>
    <w:tmpl w:val="DFC881DE"/>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0" w15:restartNumberingAfterBreak="0">
    <w:nsid w:val="48EE07A3"/>
    <w:multiLevelType w:val="hybridMultilevel"/>
    <w:tmpl w:val="7EB8C036"/>
    <w:lvl w:ilvl="0" w:tplc="F356F500">
      <w:start w:val="1"/>
      <w:numFmt w:val="bullet"/>
      <w:lvlText w:val=""/>
      <w:lvlJc w:val="left"/>
      <w:pPr>
        <w:ind w:left="792" w:hanging="360"/>
      </w:pPr>
      <w:rPr>
        <w:rFonts w:ascii="Wingdings" w:hAnsi="Wingdings" w:hint="default"/>
        <w:color w:val="4472C4" w:themeColor="accent1"/>
      </w:rPr>
    </w:lvl>
    <w:lvl w:ilvl="1" w:tplc="FFFFFFFF" w:tentative="1">
      <w:start w:val="1"/>
      <w:numFmt w:val="bullet"/>
      <w:lvlText w:val="o"/>
      <w:lvlJc w:val="left"/>
      <w:pPr>
        <w:ind w:left="1512" w:hanging="360"/>
      </w:pPr>
      <w:rPr>
        <w:rFonts w:ascii="Courier New" w:hAnsi="Courier New" w:cs="Courier New" w:hint="default"/>
      </w:rPr>
    </w:lvl>
    <w:lvl w:ilvl="2" w:tplc="FFFFFFFF" w:tentative="1">
      <w:start w:val="1"/>
      <w:numFmt w:val="bullet"/>
      <w:lvlText w:val=""/>
      <w:lvlJc w:val="left"/>
      <w:pPr>
        <w:ind w:left="2232" w:hanging="360"/>
      </w:pPr>
      <w:rPr>
        <w:rFonts w:ascii="Wingdings" w:hAnsi="Wingdings" w:hint="default"/>
      </w:rPr>
    </w:lvl>
    <w:lvl w:ilvl="3" w:tplc="FFFFFFFF" w:tentative="1">
      <w:start w:val="1"/>
      <w:numFmt w:val="bullet"/>
      <w:lvlText w:val=""/>
      <w:lvlJc w:val="left"/>
      <w:pPr>
        <w:ind w:left="2952" w:hanging="360"/>
      </w:pPr>
      <w:rPr>
        <w:rFonts w:ascii="Symbol" w:hAnsi="Symbol" w:hint="default"/>
      </w:rPr>
    </w:lvl>
    <w:lvl w:ilvl="4" w:tplc="FFFFFFFF" w:tentative="1">
      <w:start w:val="1"/>
      <w:numFmt w:val="bullet"/>
      <w:lvlText w:val="o"/>
      <w:lvlJc w:val="left"/>
      <w:pPr>
        <w:ind w:left="3672" w:hanging="360"/>
      </w:pPr>
      <w:rPr>
        <w:rFonts w:ascii="Courier New" w:hAnsi="Courier New" w:cs="Courier New" w:hint="default"/>
      </w:rPr>
    </w:lvl>
    <w:lvl w:ilvl="5" w:tplc="FFFFFFFF" w:tentative="1">
      <w:start w:val="1"/>
      <w:numFmt w:val="bullet"/>
      <w:lvlText w:val=""/>
      <w:lvlJc w:val="left"/>
      <w:pPr>
        <w:ind w:left="4392" w:hanging="360"/>
      </w:pPr>
      <w:rPr>
        <w:rFonts w:ascii="Wingdings" w:hAnsi="Wingdings" w:hint="default"/>
      </w:rPr>
    </w:lvl>
    <w:lvl w:ilvl="6" w:tplc="FFFFFFFF" w:tentative="1">
      <w:start w:val="1"/>
      <w:numFmt w:val="bullet"/>
      <w:lvlText w:val=""/>
      <w:lvlJc w:val="left"/>
      <w:pPr>
        <w:ind w:left="5112" w:hanging="360"/>
      </w:pPr>
      <w:rPr>
        <w:rFonts w:ascii="Symbol" w:hAnsi="Symbol" w:hint="default"/>
      </w:rPr>
    </w:lvl>
    <w:lvl w:ilvl="7" w:tplc="FFFFFFFF" w:tentative="1">
      <w:start w:val="1"/>
      <w:numFmt w:val="bullet"/>
      <w:lvlText w:val="o"/>
      <w:lvlJc w:val="left"/>
      <w:pPr>
        <w:ind w:left="5832" w:hanging="360"/>
      </w:pPr>
      <w:rPr>
        <w:rFonts w:ascii="Courier New" w:hAnsi="Courier New" w:cs="Courier New" w:hint="default"/>
      </w:rPr>
    </w:lvl>
    <w:lvl w:ilvl="8" w:tplc="FFFFFFFF" w:tentative="1">
      <w:start w:val="1"/>
      <w:numFmt w:val="bullet"/>
      <w:lvlText w:val=""/>
      <w:lvlJc w:val="left"/>
      <w:pPr>
        <w:ind w:left="6552" w:hanging="360"/>
      </w:pPr>
      <w:rPr>
        <w:rFonts w:ascii="Wingdings" w:hAnsi="Wingdings" w:hint="default"/>
      </w:rPr>
    </w:lvl>
  </w:abstractNum>
  <w:abstractNum w:abstractNumId="61" w15:restartNumberingAfterBreak="0">
    <w:nsid w:val="49731435"/>
    <w:multiLevelType w:val="hybridMultilevel"/>
    <w:tmpl w:val="6B48077E"/>
    <w:lvl w:ilvl="0" w:tplc="F356F500">
      <w:start w:val="1"/>
      <w:numFmt w:val="bullet"/>
      <w:lvlText w:val=""/>
      <w:lvlJc w:val="left"/>
      <w:pPr>
        <w:ind w:left="493" w:hanging="360"/>
      </w:pPr>
      <w:rPr>
        <w:rFonts w:ascii="Wingdings" w:hAnsi="Wingdings" w:hint="default"/>
        <w:color w:val="4472C4" w:themeColor="accent1"/>
      </w:rPr>
    </w:lvl>
    <w:lvl w:ilvl="1" w:tplc="FFFFFFFF" w:tentative="1">
      <w:start w:val="1"/>
      <w:numFmt w:val="bullet"/>
      <w:lvlText w:val="o"/>
      <w:lvlJc w:val="left"/>
      <w:pPr>
        <w:ind w:left="1213" w:hanging="360"/>
      </w:pPr>
      <w:rPr>
        <w:rFonts w:ascii="Courier New" w:hAnsi="Courier New" w:cs="Courier New" w:hint="default"/>
      </w:rPr>
    </w:lvl>
    <w:lvl w:ilvl="2" w:tplc="FFFFFFFF" w:tentative="1">
      <w:start w:val="1"/>
      <w:numFmt w:val="bullet"/>
      <w:lvlText w:val=""/>
      <w:lvlJc w:val="left"/>
      <w:pPr>
        <w:ind w:left="1933" w:hanging="360"/>
      </w:pPr>
      <w:rPr>
        <w:rFonts w:ascii="Wingdings" w:hAnsi="Wingdings" w:hint="default"/>
      </w:rPr>
    </w:lvl>
    <w:lvl w:ilvl="3" w:tplc="FFFFFFFF" w:tentative="1">
      <w:start w:val="1"/>
      <w:numFmt w:val="bullet"/>
      <w:lvlText w:val=""/>
      <w:lvlJc w:val="left"/>
      <w:pPr>
        <w:ind w:left="2653" w:hanging="360"/>
      </w:pPr>
      <w:rPr>
        <w:rFonts w:ascii="Symbol" w:hAnsi="Symbol" w:hint="default"/>
      </w:rPr>
    </w:lvl>
    <w:lvl w:ilvl="4" w:tplc="FFFFFFFF" w:tentative="1">
      <w:start w:val="1"/>
      <w:numFmt w:val="bullet"/>
      <w:lvlText w:val="o"/>
      <w:lvlJc w:val="left"/>
      <w:pPr>
        <w:ind w:left="3373" w:hanging="360"/>
      </w:pPr>
      <w:rPr>
        <w:rFonts w:ascii="Courier New" w:hAnsi="Courier New" w:cs="Courier New" w:hint="default"/>
      </w:rPr>
    </w:lvl>
    <w:lvl w:ilvl="5" w:tplc="FFFFFFFF" w:tentative="1">
      <w:start w:val="1"/>
      <w:numFmt w:val="bullet"/>
      <w:lvlText w:val=""/>
      <w:lvlJc w:val="left"/>
      <w:pPr>
        <w:ind w:left="4093" w:hanging="360"/>
      </w:pPr>
      <w:rPr>
        <w:rFonts w:ascii="Wingdings" w:hAnsi="Wingdings" w:hint="default"/>
      </w:rPr>
    </w:lvl>
    <w:lvl w:ilvl="6" w:tplc="FFFFFFFF" w:tentative="1">
      <w:start w:val="1"/>
      <w:numFmt w:val="bullet"/>
      <w:lvlText w:val=""/>
      <w:lvlJc w:val="left"/>
      <w:pPr>
        <w:ind w:left="4813" w:hanging="360"/>
      </w:pPr>
      <w:rPr>
        <w:rFonts w:ascii="Symbol" w:hAnsi="Symbol" w:hint="default"/>
      </w:rPr>
    </w:lvl>
    <w:lvl w:ilvl="7" w:tplc="FFFFFFFF" w:tentative="1">
      <w:start w:val="1"/>
      <w:numFmt w:val="bullet"/>
      <w:lvlText w:val="o"/>
      <w:lvlJc w:val="left"/>
      <w:pPr>
        <w:ind w:left="5533" w:hanging="360"/>
      </w:pPr>
      <w:rPr>
        <w:rFonts w:ascii="Courier New" w:hAnsi="Courier New" w:cs="Courier New" w:hint="default"/>
      </w:rPr>
    </w:lvl>
    <w:lvl w:ilvl="8" w:tplc="FFFFFFFF" w:tentative="1">
      <w:start w:val="1"/>
      <w:numFmt w:val="bullet"/>
      <w:lvlText w:val=""/>
      <w:lvlJc w:val="left"/>
      <w:pPr>
        <w:ind w:left="6253" w:hanging="360"/>
      </w:pPr>
      <w:rPr>
        <w:rFonts w:ascii="Wingdings" w:hAnsi="Wingdings" w:hint="default"/>
      </w:rPr>
    </w:lvl>
  </w:abstractNum>
  <w:abstractNum w:abstractNumId="62" w15:restartNumberingAfterBreak="0">
    <w:nsid w:val="498C4569"/>
    <w:multiLevelType w:val="hybridMultilevel"/>
    <w:tmpl w:val="BD5C04E0"/>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3" w15:restartNumberingAfterBreak="0">
    <w:nsid w:val="4A4B5B88"/>
    <w:multiLevelType w:val="hybridMultilevel"/>
    <w:tmpl w:val="955C6D40"/>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4" w15:restartNumberingAfterBreak="0">
    <w:nsid w:val="4B2C1430"/>
    <w:multiLevelType w:val="hybridMultilevel"/>
    <w:tmpl w:val="2834C84C"/>
    <w:lvl w:ilvl="0" w:tplc="833CF900">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5" w15:restartNumberingAfterBreak="0">
    <w:nsid w:val="4D3530C2"/>
    <w:multiLevelType w:val="multilevel"/>
    <w:tmpl w:val="F4F64CE8"/>
    <w:lvl w:ilvl="0">
      <w:start w:val="1"/>
      <w:numFmt w:val="decimal"/>
      <w:lvlText w:val="%1."/>
      <w:lvlJc w:val="left"/>
      <w:pPr>
        <w:ind w:left="380" w:hanging="380"/>
      </w:pPr>
      <w:rPr>
        <w:rFonts w:hint="default"/>
      </w:rPr>
    </w:lvl>
    <w:lvl w:ilvl="1">
      <w:start w:val="1"/>
      <w:numFmt w:val="decimal"/>
      <w:lvlText w:val="2.%2."/>
      <w:lvlJc w:val="left"/>
      <w:pPr>
        <w:ind w:left="720" w:hanging="720"/>
      </w:pPr>
      <w:rPr>
        <w:rFonts w:hint="default"/>
      </w:rPr>
    </w:lvl>
    <w:lvl w:ilvl="2">
      <w:start w:val="1"/>
      <w:numFmt w:val="decimal"/>
      <w:lvlText w:val="2.%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DD47EEE"/>
    <w:multiLevelType w:val="hybridMultilevel"/>
    <w:tmpl w:val="4D4CD49C"/>
    <w:lvl w:ilvl="0" w:tplc="1CEC029A">
      <w:numFmt w:val="bullet"/>
      <w:lvlText w:val="-"/>
      <w:lvlJc w:val="left"/>
      <w:pPr>
        <w:ind w:left="720" w:hanging="360"/>
      </w:pPr>
      <w:rPr>
        <w:rFonts w:ascii="Verdana" w:eastAsia="Times New Roman"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7" w15:restartNumberingAfterBreak="0">
    <w:nsid w:val="51EB5F69"/>
    <w:multiLevelType w:val="hybridMultilevel"/>
    <w:tmpl w:val="B57288EA"/>
    <w:lvl w:ilvl="0" w:tplc="F27AB6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8" w15:restartNumberingAfterBreak="0">
    <w:nsid w:val="533737EE"/>
    <w:multiLevelType w:val="hybridMultilevel"/>
    <w:tmpl w:val="EA229E30"/>
    <w:lvl w:ilvl="0" w:tplc="91FA9524">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9" w15:restartNumberingAfterBreak="0">
    <w:nsid w:val="55293C14"/>
    <w:multiLevelType w:val="multilevel"/>
    <w:tmpl w:val="62CCBD00"/>
    <w:lvl w:ilvl="0">
      <w:start w:val="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color w:val="4472C4" w:themeColor="accent1"/>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71B63D2"/>
    <w:multiLevelType w:val="hybridMultilevel"/>
    <w:tmpl w:val="5366FE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1" w15:restartNumberingAfterBreak="0">
    <w:nsid w:val="593046EB"/>
    <w:multiLevelType w:val="hybridMultilevel"/>
    <w:tmpl w:val="CEDA2076"/>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2" w15:restartNumberingAfterBreak="0">
    <w:nsid w:val="5D8B5687"/>
    <w:multiLevelType w:val="multilevel"/>
    <w:tmpl w:val="7E9EEEE2"/>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F42333E"/>
    <w:multiLevelType w:val="hybridMultilevel"/>
    <w:tmpl w:val="A3126168"/>
    <w:lvl w:ilvl="0" w:tplc="F356F500">
      <w:start w:val="1"/>
      <w:numFmt w:val="bullet"/>
      <w:lvlText w:val=""/>
      <w:lvlJc w:val="left"/>
      <w:pPr>
        <w:ind w:left="1211" w:hanging="360"/>
      </w:pPr>
      <w:rPr>
        <w:rFonts w:ascii="Wingdings" w:hAnsi="Wingdings" w:hint="default"/>
        <w:color w:val="4472C4" w:themeColor="accent1"/>
      </w:rPr>
    </w:lvl>
    <w:lvl w:ilvl="1" w:tplc="080C0003" w:tentative="1">
      <w:start w:val="1"/>
      <w:numFmt w:val="bullet"/>
      <w:lvlText w:val="o"/>
      <w:lvlJc w:val="left"/>
      <w:pPr>
        <w:ind w:left="1931" w:hanging="360"/>
      </w:pPr>
      <w:rPr>
        <w:rFonts w:ascii="Courier New" w:hAnsi="Courier New" w:cs="Courier New" w:hint="default"/>
      </w:rPr>
    </w:lvl>
    <w:lvl w:ilvl="2" w:tplc="080C0005" w:tentative="1">
      <w:start w:val="1"/>
      <w:numFmt w:val="bullet"/>
      <w:lvlText w:val=""/>
      <w:lvlJc w:val="left"/>
      <w:pPr>
        <w:ind w:left="2651" w:hanging="360"/>
      </w:pPr>
      <w:rPr>
        <w:rFonts w:ascii="Wingdings" w:hAnsi="Wingdings" w:hint="default"/>
      </w:rPr>
    </w:lvl>
    <w:lvl w:ilvl="3" w:tplc="080C0001" w:tentative="1">
      <w:start w:val="1"/>
      <w:numFmt w:val="bullet"/>
      <w:lvlText w:val=""/>
      <w:lvlJc w:val="left"/>
      <w:pPr>
        <w:ind w:left="3371" w:hanging="360"/>
      </w:pPr>
      <w:rPr>
        <w:rFonts w:ascii="Symbol" w:hAnsi="Symbol" w:hint="default"/>
      </w:rPr>
    </w:lvl>
    <w:lvl w:ilvl="4" w:tplc="080C0003" w:tentative="1">
      <w:start w:val="1"/>
      <w:numFmt w:val="bullet"/>
      <w:lvlText w:val="o"/>
      <w:lvlJc w:val="left"/>
      <w:pPr>
        <w:ind w:left="4091" w:hanging="360"/>
      </w:pPr>
      <w:rPr>
        <w:rFonts w:ascii="Courier New" w:hAnsi="Courier New" w:cs="Courier New" w:hint="default"/>
      </w:rPr>
    </w:lvl>
    <w:lvl w:ilvl="5" w:tplc="080C0005" w:tentative="1">
      <w:start w:val="1"/>
      <w:numFmt w:val="bullet"/>
      <w:lvlText w:val=""/>
      <w:lvlJc w:val="left"/>
      <w:pPr>
        <w:ind w:left="4811" w:hanging="360"/>
      </w:pPr>
      <w:rPr>
        <w:rFonts w:ascii="Wingdings" w:hAnsi="Wingdings" w:hint="default"/>
      </w:rPr>
    </w:lvl>
    <w:lvl w:ilvl="6" w:tplc="080C0001" w:tentative="1">
      <w:start w:val="1"/>
      <w:numFmt w:val="bullet"/>
      <w:lvlText w:val=""/>
      <w:lvlJc w:val="left"/>
      <w:pPr>
        <w:ind w:left="5531" w:hanging="360"/>
      </w:pPr>
      <w:rPr>
        <w:rFonts w:ascii="Symbol" w:hAnsi="Symbol" w:hint="default"/>
      </w:rPr>
    </w:lvl>
    <w:lvl w:ilvl="7" w:tplc="080C0003" w:tentative="1">
      <w:start w:val="1"/>
      <w:numFmt w:val="bullet"/>
      <w:lvlText w:val="o"/>
      <w:lvlJc w:val="left"/>
      <w:pPr>
        <w:ind w:left="6251" w:hanging="360"/>
      </w:pPr>
      <w:rPr>
        <w:rFonts w:ascii="Courier New" w:hAnsi="Courier New" w:cs="Courier New" w:hint="default"/>
      </w:rPr>
    </w:lvl>
    <w:lvl w:ilvl="8" w:tplc="080C0005" w:tentative="1">
      <w:start w:val="1"/>
      <w:numFmt w:val="bullet"/>
      <w:lvlText w:val=""/>
      <w:lvlJc w:val="left"/>
      <w:pPr>
        <w:ind w:left="6971" w:hanging="360"/>
      </w:pPr>
      <w:rPr>
        <w:rFonts w:ascii="Wingdings" w:hAnsi="Wingdings" w:hint="default"/>
      </w:rPr>
    </w:lvl>
  </w:abstractNum>
  <w:abstractNum w:abstractNumId="74" w15:restartNumberingAfterBreak="0">
    <w:nsid w:val="63644D6C"/>
    <w:multiLevelType w:val="hybridMultilevel"/>
    <w:tmpl w:val="C22A7CFE"/>
    <w:lvl w:ilvl="0" w:tplc="F356F500">
      <w:start w:val="1"/>
      <w:numFmt w:val="bullet"/>
      <w:lvlText w:val=""/>
      <w:lvlJc w:val="left"/>
      <w:pPr>
        <w:ind w:left="795" w:hanging="360"/>
      </w:pPr>
      <w:rPr>
        <w:rFonts w:ascii="Wingdings" w:hAnsi="Wingdings" w:hint="default"/>
        <w:color w:val="4472C4" w:themeColor="accent1"/>
      </w:rPr>
    </w:lvl>
    <w:lvl w:ilvl="1" w:tplc="FFFFFFFF" w:tentative="1">
      <w:start w:val="1"/>
      <w:numFmt w:val="bullet"/>
      <w:lvlText w:val="o"/>
      <w:lvlJc w:val="left"/>
      <w:pPr>
        <w:ind w:left="1515" w:hanging="360"/>
      </w:pPr>
      <w:rPr>
        <w:rFonts w:ascii="Courier New" w:hAnsi="Courier New" w:cs="Courier New" w:hint="default"/>
      </w:rPr>
    </w:lvl>
    <w:lvl w:ilvl="2" w:tplc="FFFFFFFF" w:tentative="1">
      <w:start w:val="1"/>
      <w:numFmt w:val="bullet"/>
      <w:lvlText w:val=""/>
      <w:lvlJc w:val="left"/>
      <w:pPr>
        <w:ind w:left="2235" w:hanging="360"/>
      </w:pPr>
      <w:rPr>
        <w:rFonts w:ascii="Wingdings" w:hAnsi="Wingdings" w:hint="default"/>
      </w:rPr>
    </w:lvl>
    <w:lvl w:ilvl="3" w:tplc="FFFFFFFF" w:tentative="1">
      <w:start w:val="1"/>
      <w:numFmt w:val="bullet"/>
      <w:lvlText w:val=""/>
      <w:lvlJc w:val="left"/>
      <w:pPr>
        <w:ind w:left="2955" w:hanging="360"/>
      </w:pPr>
      <w:rPr>
        <w:rFonts w:ascii="Symbol" w:hAnsi="Symbol" w:hint="default"/>
      </w:rPr>
    </w:lvl>
    <w:lvl w:ilvl="4" w:tplc="FFFFFFFF" w:tentative="1">
      <w:start w:val="1"/>
      <w:numFmt w:val="bullet"/>
      <w:lvlText w:val="o"/>
      <w:lvlJc w:val="left"/>
      <w:pPr>
        <w:ind w:left="3675" w:hanging="360"/>
      </w:pPr>
      <w:rPr>
        <w:rFonts w:ascii="Courier New" w:hAnsi="Courier New" w:cs="Courier New" w:hint="default"/>
      </w:rPr>
    </w:lvl>
    <w:lvl w:ilvl="5" w:tplc="FFFFFFFF" w:tentative="1">
      <w:start w:val="1"/>
      <w:numFmt w:val="bullet"/>
      <w:lvlText w:val=""/>
      <w:lvlJc w:val="left"/>
      <w:pPr>
        <w:ind w:left="4395" w:hanging="360"/>
      </w:pPr>
      <w:rPr>
        <w:rFonts w:ascii="Wingdings" w:hAnsi="Wingdings" w:hint="default"/>
      </w:rPr>
    </w:lvl>
    <w:lvl w:ilvl="6" w:tplc="FFFFFFFF" w:tentative="1">
      <w:start w:val="1"/>
      <w:numFmt w:val="bullet"/>
      <w:lvlText w:val=""/>
      <w:lvlJc w:val="left"/>
      <w:pPr>
        <w:ind w:left="5115" w:hanging="360"/>
      </w:pPr>
      <w:rPr>
        <w:rFonts w:ascii="Symbol" w:hAnsi="Symbol" w:hint="default"/>
      </w:rPr>
    </w:lvl>
    <w:lvl w:ilvl="7" w:tplc="FFFFFFFF" w:tentative="1">
      <w:start w:val="1"/>
      <w:numFmt w:val="bullet"/>
      <w:lvlText w:val="o"/>
      <w:lvlJc w:val="left"/>
      <w:pPr>
        <w:ind w:left="5835" w:hanging="360"/>
      </w:pPr>
      <w:rPr>
        <w:rFonts w:ascii="Courier New" w:hAnsi="Courier New" w:cs="Courier New" w:hint="default"/>
      </w:rPr>
    </w:lvl>
    <w:lvl w:ilvl="8" w:tplc="FFFFFFFF" w:tentative="1">
      <w:start w:val="1"/>
      <w:numFmt w:val="bullet"/>
      <w:lvlText w:val=""/>
      <w:lvlJc w:val="left"/>
      <w:pPr>
        <w:ind w:left="6555" w:hanging="360"/>
      </w:pPr>
      <w:rPr>
        <w:rFonts w:ascii="Wingdings" w:hAnsi="Wingdings" w:hint="default"/>
      </w:rPr>
    </w:lvl>
  </w:abstractNum>
  <w:abstractNum w:abstractNumId="75" w15:restartNumberingAfterBreak="0">
    <w:nsid w:val="63BA1DAB"/>
    <w:multiLevelType w:val="hybridMultilevel"/>
    <w:tmpl w:val="BB789E78"/>
    <w:lvl w:ilvl="0" w:tplc="F27AB6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6" w15:restartNumberingAfterBreak="0">
    <w:nsid w:val="65D606DA"/>
    <w:multiLevelType w:val="hybridMultilevel"/>
    <w:tmpl w:val="8CCAC140"/>
    <w:lvl w:ilvl="0" w:tplc="48AAEF5E">
      <w:numFmt w:val="bullet"/>
      <w:lvlText w:val="•"/>
      <w:lvlJc w:val="left"/>
      <w:pPr>
        <w:ind w:left="1080" w:hanging="72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7" w15:restartNumberingAfterBreak="0">
    <w:nsid w:val="660C2210"/>
    <w:multiLevelType w:val="hybridMultilevel"/>
    <w:tmpl w:val="B476B184"/>
    <w:lvl w:ilvl="0" w:tplc="F356F500">
      <w:start w:val="1"/>
      <w:numFmt w:val="bullet"/>
      <w:lvlText w:val=""/>
      <w:lvlJc w:val="left"/>
      <w:pPr>
        <w:ind w:left="720" w:hanging="360"/>
      </w:pPr>
      <w:rPr>
        <w:rFonts w:ascii="Wingdings" w:hAnsi="Wingdings" w:hint="default"/>
        <w:color w:val="4472C4"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66521EED"/>
    <w:multiLevelType w:val="hybridMultilevel"/>
    <w:tmpl w:val="50BEF470"/>
    <w:lvl w:ilvl="0" w:tplc="91FA9524">
      <w:start w:val="1"/>
      <w:numFmt w:val="bullet"/>
      <w:lvlText w:val=""/>
      <w:lvlJc w:val="left"/>
      <w:pPr>
        <w:ind w:left="1080" w:hanging="360"/>
      </w:pPr>
      <w:rPr>
        <w:rFonts w:ascii="Wingdings" w:hAnsi="Wingdings" w:hint="default"/>
        <w:color w:val="4472C4" w:themeColor="accent1"/>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9" w15:restartNumberingAfterBreak="0">
    <w:nsid w:val="666D26D2"/>
    <w:multiLevelType w:val="hybridMultilevel"/>
    <w:tmpl w:val="FFFFFFFF"/>
    <w:lvl w:ilvl="0" w:tplc="EC9CE19A">
      <w:start w:val="1"/>
      <w:numFmt w:val="bullet"/>
      <w:lvlText w:val=""/>
      <w:lvlJc w:val="left"/>
      <w:pPr>
        <w:ind w:left="720" w:hanging="360"/>
      </w:pPr>
      <w:rPr>
        <w:rFonts w:ascii="Wingdings" w:hAnsi="Wingdings" w:hint="default"/>
      </w:rPr>
    </w:lvl>
    <w:lvl w:ilvl="1" w:tplc="5EA675A4">
      <w:start w:val="1"/>
      <w:numFmt w:val="bullet"/>
      <w:lvlText w:val="o"/>
      <w:lvlJc w:val="left"/>
      <w:pPr>
        <w:ind w:left="1440" w:hanging="360"/>
      </w:pPr>
      <w:rPr>
        <w:rFonts w:ascii="Courier New" w:hAnsi="Courier New" w:hint="default"/>
      </w:rPr>
    </w:lvl>
    <w:lvl w:ilvl="2" w:tplc="96A248A0">
      <w:start w:val="1"/>
      <w:numFmt w:val="bullet"/>
      <w:lvlText w:val=""/>
      <w:lvlJc w:val="left"/>
      <w:pPr>
        <w:ind w:left="2160" w:hanging="360"/>
      </w:pPr>
      <w:rPr>
        <w:rFonts w:ascii="Wingdings" w:hAnsi="Wingdings" w:hint="default"/>
      </w:rPr>
    </w:lvl>
    <w:lvl w:ilvl="3" w:tplc="ADB0D634">
      <w:start w:val="1"/>
      <w:numFmt w:val="bullet"/>
      <w:lvlText w:val=""/>
      <w:lvlJc w:val="left"/>
      <w:pPr>
        <w:ind w:left="2880" w:hanging="360"/>
      </w:pPr>
      <w:rPr>
        <w:rFonts w:ascii="Symbol" w:hAnsi="Symbol" w:hint="default"/>
      </w:rPr>
    </w:lvl>
    <w:lvl w:ilvl="4" w:tplc="45927A04">
      <w:start w:val="1"/>
      <w:numFmt w:val="bullet"/>
      <w:lvlText w:val="o"/>
      <w:lvlJc w:val="left"/>
      <w:pPr>
        <w:ind w:left="3600" w:hanging="360"/>
      </w:pPr>
      <w:rPr>
        <w:rFonts w:ascii="Courier New" w:hAnsi="Courier New" w:hint="default"/>
      </w:rPr>
    </w:lvl>
    <w:lvl w:ilvl="5" w:tplc="5378A9F0">
      <w:start w:val="1"/>
      <w:numFmt w:val="bullet"/>
      <w:lvlText w:val=""/>
      <w:lvlJc w:val="left"/>
      <w:pPr>
        <w:ind w:left="4320" w:hanging="360"/>
      </w:pPr>
      <w:rPr>
        <w:rFonts w:ascii="Wingdings" w:hAnsi="Wingdings" w:hint="default"/>
      </w:rPr>
    </w:lvl>
    <w:lvl w:ilvl="6" w:tplc="E10289FC">
      <w:start w:val="1"/>
      <w:numFmt w:val="bullet"/>
      <w:lvlText w:val=""/>
      <w:lvlJc w:val="left"/>
      <w:pPr>
        <w:ind w:left="5040" w:hanging="360"/>
      </w:pPr>
      <w:rPr>
        <w:rFonts w:ascii="Symbol" w:hAnsi="Symbol" w:hint="default"/>
      </w:rPr>
    </w:lvl>
    <w:lvl w:ilvl="7" w:tplc="1A00EDF4">
      <w:start w:val="1"/>
      <w:numFmt w:val="bullet"/>
      <w:lvlText w:val="o"/>
      <w:lvlJc w:val="left"/>
      <w:pPr>
        <w:ind w:left="5760" w:hanging="360"/>
      </w:pPr>
      <w:rPr>
        <w:rFonts w:ascii="Courier New" w:hAnsi="Courier New" w:hint="default"/>
      </w:rPr>
    </w:lvl>
    <w:lvl w:ilvl="8" w:tplc="2ACADE1E">
      <w:start w:val="1"/>
      <w:numFmt w:val="bullet"/>
      <w:lvlText w:val=""/>
      <w:lvlJc w:val="left"/>
      <w:pPr>
        <w:ind w:left="6480" w:hanging="360"/>
      </w:pPr>
      <w:rPr>
        <w:rFonts w:ascii="Wingdings" w:hAnsi="Wingdings" w:hint="default"/>
      </w:rPr>
    </w:lvl>
  </w:abstractNum>
  <w:abstractNum w:abstractNumId="80" w15:restartNumberingAfterBreak="0">
    <w:nsid w:val="669076ED"/>
    <w:multiLevelType w:val="hybridMultilevel"/>
    <w:tmpl w:val="6C3CBF20"/>
    <w:lvl w:ilvl="0" w:tplc="F356F500">
      <w:start w:val="1"/>
      <w:numFmt w:val="bullet"/>
      <w:lvlText w:val=""/>
      <w:lvlJc w:val="left"/>
      <w:pPr>
        <w:ind w:left="720" w:hanging="360"/>
      </w:pPr>
      <w:rPr>
        <w:rFonts w:ascii="Wingdings" w:hAnsi="Wingdings" w:hint="default"/>
        <w:color w:val="4472C4" w:themeColor="accent1"/>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1" w15:restartNumberingAfterBreak="0">
    <w:nsid w:val="676153E0"/>
    <w:multiLevelType w:val="hybridMultilevel"/>
    <w:tmpl w:val="EBDE56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2" w15:restartNumberingAfterBreak="0">
    <w:nsid w:val="69EB2AB1"/>
    <w:multiLevelType w:val="hybridMultilevel"/>
    <w:tmpl w:val="F04AC624"/>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3" w15:restartNumberingAfterBreak="0">
    <w:nsid w:val="6A9F33C5"/>
    <w:multiLevelType w:val="hybridMultilevel"/>
    <w:tmpl w:val="B39049DE"/>
    <w:lvl w:ilvl="0" w:tplc="F27AB6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4" w15:restartNumberingAfterBreak="0">
    <w:nsid w:val="6AAA65BF"/>
    <w:multiLevelType w:val="hybridMultilevel"/>
    <w:tmpl w:val="FFFFFFFF"/>
    <w:lvl w:ilvl="0" w:tplc="E4065992">
      <w:start w:val="1"/>
      <w:numFmt w:val="decimal"/>
      <w:lvlText w:val="%1."/>
      <w:lvlJc w:val="left"/>
      <w:pPr>
        <w:ind w:left="720" w:hanging="360"/>
      </w:pPr>
    </w:lvl>
    <w:lvl w:ilvl="1" w:tplc="C776787A">
      <w:start w:val="1"/>
      <w:numFmt w:val="lowerLetter"/>
      <w:lvlText w:val="%2."/>
      <w:lvlJc w:val="left"/>
      <w:pPr>
        <w:ind w:left="1440" w:hanging="360"/>
      </w:pPr>
    </w:lvl>
    <w:lvl w:ilvl="2" w:tplc="7BE09C4C">
      <w:start w:val="1"/>
      <w:numFmt w:val="lowerRoman"/>
      <w:lvlText w:val="%3."/>
      <w:lvlJc w:val="right"/>
      <w:pPr>
        <w:ind w:left="2160" w:hanging="180"/>
      </w:pPr>
    </w:lvl>
    <w:lvl w:ilvl="3" w:tplc="A498CF76">
      <w:start w:val="1"/>
      <w:numFmt w:val="decimal"/>
      <w:lvlText w:val="%4."/>
      <w:lvlJc w:val="left"/>
      <w:pPr>
        <w:ind w:left="2880" w:hanging="360"/>
      </w:pPr>
    </w:lvl>
    <w:lvl w:ilvl="4" w:tplc="64D24AAC">
      <w:start w:val="1"/>
      <w:numFmt w:val="lowerLetter"/>
      <w:lvlText w:val="%5."/>
      <w:lvlJc w:val="left"/>
      <w:pPr>
        <w:ind w:left="3600" w:hanging="360"/>
      </w:pPr>
    </w:lvl>
    <w:lvl w:ilvl="5" w:tplc="349252F8">
      <w:start w:val="1"/>
      <w:numFmt w:val="lowerRoman"/>
      <w:lvlText w:val="%6."/>
      <w:lvlJc w:val="right"/>
      <w:pPr>
        <w:ind w:left="4320" w:hanging="180"/>
      </w:pPr>
    </w:lvl>
    <w:lvl w:ilvl="6" w:tplc="6A129D64">
      <w:start w:val="1"/>
      <w:numFmt w:val="decimal"/>
      <w:lvlText w:val="%7."/>
      <w:lvlJc w:val="left"/>
      <w:pPr>
        <w:ind w:left="5040" w:hanging="360"/>
      </w:pPr>
    </w:lvl>
    <w:lvl w:ilvl="7" w:tplc="86E0AD18">
      <w:start w:val="1"/>
      <w:numFmt w:val="lowerLetter"/>
      <w:lvlText w:val="%8."/>
      <w:lvlJc w:val="left"/>
      <w:pPr>
        <w:ind w:left="5760" w:hanging="360"/>
      </w:pPr>
    </w:lvl>
    <w:lvl w:ilvl="8" w:tplc="15220F88">
      <w:start w:val="1"/>
      <w:numFmt w:val="lowerRoman"/>
      <w:lvlText w:val="%9."/>
      <w:lvlJc w:val="right"/>
      <w:pPr>
        <w:ind w:left="6480" w:hanging="180"/>
      </w:pPr>
    </w:lvl>
  </w:abstractNum>
  <w:abstractNum w:abstractNumId="85" w15:restartNumberingAfterBreak="0">
    <w:nsid w:val="6E0E5701"/>
    <w:multiLevelType w:val="hybridMultilevel"/>
    <w:tmpl w:val="A0FEBE8C"/>
    <w:lvl w:ilvl="0" w:tplc="7F929A0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E200FB6"/>
    <w:multiLevelType w:val="hybridMultilevel"/>
    <w:tmpl w:val="C5B41C6C"/>
    <w:lvl w:ilvl="0" w:tplc="F27AB6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7" w15:restartNumberingAfterBreak="0">
    <w:nsid w:val="6E5926AB"/>
    <w:multiLevelType w:val="hybridMultilevel"/>
    <w:tmpl w:val="603A14BA"/>
    <w:lvl w:ilvl="0" w:tplc="F27AB6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8" w15:restartNumberingAfterBreak="0">
    <w:nsid w:val="6EF56DA6"/>
    <w:multiLevelType w:val="hybridMultilevel"/>
    <w:tmpl w:val="B816DC76"/>
    <w:lvl w:ilvl="0" w:tplc="F356F500">
      <w:start w:val="1"/>
      <w:numFmt w:val="bullet"/>
      <w:lvlText w:val=""/>
      <w:lvlJc w:val="left"/>
      <w:pPr>
        <w:ind w:left="720" w:hanging="360"/>
      </w:pPr>
      <w:rPr>
        <w:rFonts w:ascii="Wingdings" w:hAnsi="Wingdings" w:hint="default"/>
        <w:color w:val="4472C4" w:themeColor="accent1"/>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70E66C26"/>
    <w:multiLevelType w:val="hybridMultilevel"/>
    <w:tmpl w:val="5A200B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26270CF"/>
    <w:multiLevelType w:val="hybridMultilevel"/>
    <w:tmpl w:val="1E26DC80"/>
    <w:lvl w:ilvl="0" w:tplc="FFFFFFFF">
      <w:start w:val="1"/>
      <w:numFmt w:val="bullet"/>
      <w:lvlText w:val=""/>
      <w:lvlJc w:val="left"/>
      <w:pPr>
        <w:ind w:left="1080" w:hanging="360"/>
      </w:pPr>
      <w:rPr>
        <w:rFonts w:ascii="Wingdings" w:hAnsi="Wingdings" w:hint="default"/>
        <w:color w:val="4472C4" w:themeColor="accent1"/>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91" w15:restartNumberingAfterBreak="0">
    <w:nsid w:val="72DA5F15"/>
    <w:multiLevelType w:val="multilevel"/>
    <w:tmpl w:val="04605280"/>
    <w:lvl w:ilvl="0">
      <w:start w:val="1"/>
      <w:numFmt w:val="decimal"/>
      <w:lvlText w:val="%1."/>
      <w:lvlJc w:val="left"/>
      <w:pPr>
        <w:ind w:left="380" w:hanging="380"/>
      </w:pPr>
      <w:rPr>
        <w:rFonts w:hint="default"/>
      </w:rPr>
    </w:lvl>
    <w:lvl w:ilvl="1">
      <w:start w:val="1"/>
      <w:numFmt w:val="decimal"/>
      <w:lvlText w:val="%1.%2."/>
      <w:lvlJc w:val="left"/>
      <w:pPr>
        <w:ind w:left="720" w:hanging="720"/>
      </w:pPr>
      <w:rPr>
        <w:color w:val="4472C4" w:themeColor="accen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73AB17AD"/>
    <w:multiLevelType w:val="hybridMultilevel"/>
    <w:tmpl w:val="281E8C98"/>
    <w:lvl w:ilvl="0" w:tplc="339AEF16">
      <w:start w:val="1"/>
      <w:numFmt w:val="bullet"/>
      <w:lvlText w:val=""/>
      <w:lvlJc w:val="left"/>
      <w:pPr>
        <w:ind w:left="720" w:hanging="360"/>
      </w:pPr>
      <w:rPr>
        <w:rFonts w:ascii="Symbol" w:hAnsi="Symbol" w:hint="default"/>
      </w:rPr>
    </w:lvl>
    <w:lvl w:ilvl="1" w:tplc="B1EE7FD4">
      <w:start w:val="1"/>
      <w:numFmt w:val="bullet"/>
      <w:lvlText w:val="o"/>
      <w:lvlJc w:val="left"/>
      <w:pPr>
        <w:ind w:left="1440" w:hanging="360"/>
      </w:pPr>
      <w:rPr>
        <w:rFonts w:ascii="Courier New" w:hAnsi="Courier New" w:hint="default"/>
      </w:rPr>
    </w:lvl>
    <w:lvl w:ilvl="2" w:tplc="88663334">
      <w:start w:val="1"/>
      <w:numFmt w:val="bullet"/>
      <w:lvlText w:val=""/>
      <w:lvlJc w:val="left"/>
      <w:pPr>
        <w:ind w:left="2160" w:hanging="360"/>
      </w:pPr>
      <w:rPr>
        <w:rFonts w:ascii="Wingdings" w:hAnsi="Wingdings" w:hint="default"/>
      </w:rPr>
    </w:lvl>
    <w:lvl w:ilvl="3" w:tplc="B5029170">
      <w:start w:val="1"/>
      <w:numFmt w:val="bullet"/>
      <w:lvlText w:val=""/>
      <w:lvlJc w:val="left"/>
      <w:pPr>
        <w:ind w:left="2880" w:hanging="360"/>
      </w:pPr>
      <w:rPr>
        <w:rFonts w:ascii="Symbol" w:hAnsi="Symbol" w:hint="default"/>
      </w:rPr>
    </w:lvl>
    <w:lvl w:ilvl="4" w:tplc="233AE254">
      <w:start w:val="1"/>
      <w:numFmt w:val="bullet"/>
      <w:lvlText w:val="o"/>
      <w:lvlJc w:val="left"/>
      <w:pPr>
        <w:ind w:left="3600" w:hanging="360"/>
      </w:pPr>
      <w:rPr>
        <w:rFonts w:ascii="Courier New" w:hAnsi="Courier New" w:hint="default"/>
      </w:rPr>
    </w:lvl>
    <w:lvl w:ilvl="5" w:tplc="68200C30">
      <w:start w:val="1"/>
      <w:numFmt w:val="bullet"/>
      <w:lvlText w:val=""/>
      <w:lvlJc w:val="left"/>
      <w:pPr>
        <w:ind w:left="4320" w:hanging="360"/>
      </w:pPr>
      <w:rPr>
        <w:rFonts w:ascii="Wingdings" w:hAnsi="Wingdings" w:hint="default"/>
      </w:rPr>
    </w:lvl>
    <w:lvl w:ilvl="6" w:tplc="F6CE0608">
      <w:start w:val="1"/>
      <w:numFmt w:val="bullet"/>
      <w:lvlText w:val=""/>
      <w:lvlJc w:val="left"/>
      <w:pPr>
        <w:ind w:left="5040" w:hanging="360"/>
      </w:pPr>
      <w:rPr>
        <w:rFonts w:ascii="Symbol" w:hAnsi="Symbol" w:hint="default"/>
      </w:rPr>
    </w:lvl>
    <w:lvl w:ilvl="7" w:tplc="B958EBAE">
      <w:start w:val="1"/>
      <w:numFmt w:val="bullet"/>
      <w:lvlText w:val="o"/>
      <w:lvlJc w:val="left"/>
      <w:pPr>
        <w:ind w:left="5760" w:hanging="360"/>
      </w:pPr>
      <w:rPr>
        <w:rFonts w:ascii="Courier New" w:hAnsi="Courier New" w:hint="default"/>
      </w:rPr>
    </w:lvl>
    <w:lvl w:ilvl="8" w:tplc="32660182">
      <w:start w:val="1"/>
      <w:numFmt w:val="bullet"/>
      <w:lvlText w:val=""/>
      <w:lvlJc w:val="left"/>
      <w:pPr>
        <w:ind w:left="6480" w:hanging="360"/>
      </w:pPr>
      <w:rPr>
        <w:rFonts w:ascii="Wingdings" w:hAnsi="Wingdings" w:hint="default"/>
      </w:rPr>
    </w:lvl>
  </w:abstractNum>
  <w:abstractNum w:abstractNumId="93" w15:restartNumberingAfterBreak="0">
    <w:nsid w:val="763D618B"/>
    <w:multiLevelType w:val="hybridMultilevel"/>
    <w:tmpl w:val="BB706F70"/>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4" w15:restartNumberingAfterBreak="0">
    <w:nsid w:val="77246FEF"/>
    <w:multiLevelType w:val="hybridMultilevel"/>
    <w:tmpl w:val="18584430"/>
    <w:lvl w:ilvl="0" w:tplc="F27AB6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5" w15:restartNumberingAfterBreak="0">
    <w:nsid w:val="7747323F"/>
    <w:multiLevelType w:val="hybridMultilevel"/>
    <w:tmpl w:val="C6BC9730"/>
    <w:lvl w:ilvl="0" w:tplc="18090001">
      <w:start w:val="1"/>
      <w:numFmt w:val="bullet"/>
      <w:lvlText w:val=""/>
      <w:lvlJc w:val="left"/>
      <w:pPr>
        <w:ind w:left="795" w:hanging="360"/>
      </w:pPr>
      <w:rPr>
        <w:rFonts w:ascii="Symbol" w:hAnsi="Symbol" w:hint="default"/>
      </w:rPr>
    </w:lvl>
    <w:lvl w:ilvl="1" w:tplc="18090003" w:tentative="1">
      <w:start w:val="1"/>
      <w:numFmt w:val="bullet"/>
      <w:lvlText w:val="o"/>
      <w:lvlJc w:val="left"/>
      <w:pPr>
        <w:ind w:left="1515" w:hanging="360"/>
      </w:pPr>
      <w:rPr>
        <w:rFonts w:ascii="Courier New" w:hAnsi="Courier New" w:cs="Courier New" w:hint="default"/>
      </w:rPr>
    </w:lvl>
    <w:lvl w:ilvl="2" w:tplc="18090005" w:tentative="1">
      <w:start w:val="1"/>
      <w:numFmt w:val="bullet"/>
      <w:lvlText w:val=""/>
      <w:lvlJc w:val="left"/>
      <w:pPr>
        <w:ind w:left="2235" w:hanging="360"/>
      </w:pPr>
      <w:rPr>
        <w:rFonts w:ascii="Wingdings" w:hAnsi="Wingdings" w:hint="default"/>
      </w:rPr>
    </w:lvl>
    <w:lvl w:ilvl="3" w:tplc="18090001" w:tentative="1">
      <w:start w:val="1"/>
      <w:numFmt w:val="bullet"/>
      <w:lvlText w:val=""/>
      <w:lvlJc w:val="left"/>
      <w:pPr>
        <w:ind w:left="2955" w:hanging="360"/>
      </w:pPr>
      <w:rPr>
        <w:rFonts w:ascii="Symbol" w:hAnsi="Symbol" w:hint="default"/>
      </w:rPr>
    </w:lvl>
    <w:lvl w:ilvl="4" w:tplc="18090003" w:tentative="1">
      <w:start w:val="1"/>
      <w:numFmt w:val="bullet"/>
      <w:lvlText w:val="o"/>
      <w:lvlJc w:val="left"/>
      <w:pPr>
        <w:ind w:left="3675" w:hanging="360"/>
      </w:pPr>
      <w:rPr>
        <w:rFonts w:ascii="Courier New" w:hAnsi="Courier New" w:cs="Courier New" w:hint="default"/>
      </w:rPr>
    </w:lvl>
    <w:lvl w:ilvl="5" w:tplc="18090005" w:tentative="1">
      <w:start w:val="1"/>
      <w:numFmt w:val="bullet"/>
      <w:lvlText w:val=""/>
      <w:lvlJc w:val="left"/>
      <w:pPr>
        <w:ind w:left="4395" w:hanging="360"/>
      </w:pPr>
      <w:rPr>
        <w:rFonts w:ascii="Wingdings" w:hAnsi="Wingdings" w:hint="default"/>
      </w:rPr>
    </w:lvl>
    <w:lvl w:ilvl="6" w:tplc="18090001" w:tentative="1">
      <w:start w:val="1"/>
      <w:numFmt w:val="bullet"/>
      <w:lvlText w:val=""/>
      <w:lvlJc w:val="left"/>
      <w:pPr>
        <w:ind w:left="5115" w:hanging="360"/>
      </w:pPr>
      <w:rPr>
        <w:rFonts w:ascii="Symbol" w:hAnsi="Symbol" w:hint="default"/>
      </w:rPr>
    </w:lvl>
    <w:lvl w:ilvl="7" w:tplc="18090003" w:tentative="1">
      <w:start w:val="1"/>
      <w:numFmt w:val="bullet"/>
      <w:lvlText w:val="o"/>
      <w:lvlJc w:val="left"/>
      <w:pPr>
        <w:ind w:left="5835" w:hanging="360"/>
      </w:pPr>
      <w:rPr>
        <w:rFonts w:ascii="Courier New" w:hAnsi="Courier New" w:cs="Courier New" w:hint="default"/>
      </w:rPr>
    </w:lvl>
    <w:lvl w:ilvl="8" w:tplc="18090005" w:tentative="1">
      <w:start w:val="1"/>
      <w:numFmt w:val="bullet"/>
      <w:lvlText w:val=""/>
      <w:lvlJc w:val="left"/>
      <w:pPr>
        <w:ind w:left="6555" w:hanging="360"/>
      </w:pPr>
      <w:rPr>
        <w:rFonts w:ascii="Wingdings" w:hAnsi="Wingdings" w:hint="default"/>
      </w:rPr>
    </w:lvl>
  </w:abstractNum>
  <w:abstractNum w:abstractNumId="96" w15:restartNumberingAfterBreak="0">
    <w:nsid w:val="79087FDA"/>
    <w:multiLevelType w:val="hybridMultilevel"/>
    <w:tmpl w:val="5D84F2C8"/>
    <w:lvl w:ilvl="0" w:tplc="F356F500">
      <w:start w:val="1"/>
      <w:numFmt w:val="bullet"/>
      <w:lvlText w:val=""/>
      <w:lvlJc w:val="left"/>
      <w:pPr>
        <w:ind w:left="1080" w:hanging="360"/>
      </w:pPr>
      <w:rPr>
        <w:rFonts w:ascii="Wingdings" w:hAnsi="Wingdings" w:hint="default"/>
        <w:color w:val="4472C4" w:themeColor="accent1"/>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7" w15:restartNumberingAfterBreak="0">
    <w:nsid w:val="7AA65083"/>
    <w:multiLevelType w:val="hybridMultilevel"/>
    <w:tmpl w:val="FFFFFFFF"/>
    <w:lvl w:ilvl="0" w:tplc="DCA0615E">
      <w:start w:val="1"/>
      <w:numFmt w:val="bullet"/>
      <w:lvlText w:val=""/>
      <w:lvlJc w:val="left"/>
      <w:pPr>
        <w:ind w:left="720" w:hanging="360"/>
      </w:pPr>
      <w:rPr>
        <w:rFonts w:ascii="Wingdings" w:hAnsi="Wingdings" w:hint="default"/>
      </w:rPr>
    </w:lvl>
    <w:lvl w:ilvl="1" w:tplc="B76C5E3C">
      <w:start w:val="1"/>
      <w:numFmt w:val="bullet"/>
      <w:lvlText w:val="o"/>
      <w:lvlJc w:val="left"/>
      <w:pPr>
        <w:ind w:left="1440" w:hanging="360"/>
      </w:pPr>
      <w:rPr>
        <w:rFonts w:ascii="Courier New" w:hAnsi="Courier New" w:hint="default"/>
      </w:rPr>
    </w:lvl>
    <w:lvl w:ilvl="2" w:tplc="B1FED3EE">
      <w:start w:val="1"/>
      <w:numFmt w:val="bullet"/>
      <w:lvlText w:val=""/>
      <w:lvlJc w:val="left"/>
      <w:pPr>
        <w:ind w:left="2160" w:hanging="360"/>
      </w:pPr>
      <w:rPr>
        <w:rFonts w:ascii="Wingdings" w:hAnsi="Wingdings" w:hint="default"/>
      </w:rPr>
    </w:lvl>
    <w:lvl w:ilvl="3" w:tplc="0158DDD6">
      <w:start w:val="1"/>
      <w:numFmt w:val="bullet"/>
      <w:lvlText w:val=""/>
      <w:lvlJc w:val="left"/>
      <w:pPr>
        <w:ind w:left="2880" w:hanging="360"/>
      </w:pPr>
      <w:rPr>
        <w:rFonts w:ascii="Symbol" w:hAnsi="Symbol" w:hint="default"/>
      </w:rPr>
    </w:lvl>
    <w:lvl w:ilvl="4" w:tplc="12EE94DE">
      <w:start w:val="1"/>
      <w:numFmt w:val="bullet"/>
      <w:lvlText w:val="o"/>
      <w:lvlJc w:val="left"/>
      <w:pPr>
        <w:ind w:left="3600" w:hanging="360"/>
      </w:pPr>
      <w:rPr>
        <w:rFonts w:ascii="Courier New" w:hAnsi="Courier New" w:hint="default"/>
      </w:rPr>
    </w:lvl>
    <w:lvl w:ilvl="5" w:tplc="AACCF6F4">
      <w:start w:val="1"/>
      <w:numFmt w:val="bullet"/>
      <w:lvlText w:val=""/>
      <w:lvlJc w:val="left"/>
      <w:pPr>
        <w:ind w:left="4320" w:hanging="360"/>
      </w:pPr>
      <w:rPr>
        <w:rFonts w:ascii="Wingdings" w:hAnsi="Wingdings" w:hint="default"/>
      </w:rPr>
    </w:lvl>
    <w:lvl w:ilvl="6" w:tplc="AD02DBD4">
      <w:start w:val="1"/>
      <w:numFmt w:val="bullet"/>
      <w:lvlText w:val=""/>
      <w:lvlJc w:val="left"/>
      <w:pPr>
        <w:ind w:left="5040" w:hanging="360"/>
      </w:pPr>
      <w:rPr>
        <w:rFonts w:ascii="Symbol" w:hAnsi="Symbol" w:hint="default"/>
      </w:rPr>
    </w:lvl>
    <w:lvl w:ilvl="7" w:tplc="140ED0C0">
      <w:start w:val="1"/>
      <w:numFmt w:val="bullet"/>
      <w:lvlText w:val="o"/>
      <w:lvlJc w:val="left"/>
      <w:pPr>
        <w:ind w:left="5760" w:hanging="360"/>
      </w:pPr>
      <w:rPr>
        <w:rFonts w:ascii="Courier New" w:hAnsi="Courier New" w:hint="default"/>
      </w:rPr>
    </w:lvl>
    <w:lvl w:ilvl="8" w:tplc="0CC0743E">
      <w:start w:val="1"/>
      <w:numFmt w:val="bullet"/>
      <w:lvlText w:val=""/>
      <w:lvlJc w:val="left"/>
      <w:pPr>
        <w:ind w:left="6480" w:hanging="360"/>
      </w:pPr>
      <w:rPr>
        <w:rFonts w:ascii="Wingdings" w:hAnsi="Wingdings" w:hint="default"/>
      </w:rPr>
    </w:lvl>
  </w:abstractNum>
  <w:abstractNum w:abstractNumId="98" w15:restartNumberingAfterBreak="0">
    <w:nsid w:val="7B276A1E"/>
    <w:multiLevelType w:val="multilevel"/>
    <w:tmpl w:val="D6B4695A"/>
    <w:lvl w:ilvl="0">
      <w:start w:val="2"/>
      <w:numFmt w:val="decimal"/>
      <w:lvlText w:val="%1."/>
      <w:lvlJc w:val="left"/>
      <w:pPr>
        <w:ind w:left="742" w:hanging="60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862" w:hanging="720"/>
      </w:pPr>
      <w:rPr>
        <w:rFonts w:hint="default"/>
        <w:color w:val="4472C4" w:themeColor="accent1"/>
      </w:rPr>
    </w:lvl>
    <w:lvl w:ilvl="3">
      <w:start w:val="1"/>
      <w:numFmt w:val="decimal"/>
      <w:lvlText w:val="%1.%2.%3.%4."/>
      <w:lvlJc w:val="left"/>
      <w:pPr>
        <w:ind w:left="1222" w:hanging="108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582" w:hanging="144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942" w:hanging="1800"/>
      </w:pPr>
      <w:rPr>
        <w:rFonts w:hint="default"/>
      </w:rPr>
    </w:lvl>
    <w:lvl w:ilvl="8">
      <w:start w:val="1"/>
      <w:numFmt w:val="decimal"/>
      <w:lvlText w:val="%1.%2.%3.%4.%5.%6.%7.%8.%9."/>
      <w:lvlJc w:val="left"/>
      <w:pPr>
        <w:ind w:left="1942" w:hanging="1800"/>
      </w:pPr>
      <w:rPr>
        <w:rFonts w:hint="default"/>
      </w:rPr>
    </w:lvl>
  </w:abstractNum>
  <w:abstractNum w:abstractNumId="99" w15:restartNumberingAfterBreak="0">
    <w:nsid w:val="7E0D19D9"/>
    <w:multiLevelType w:val="hybridMultilevel"/>
    <w:tmpl w:val="E640AF8C"/>
    <w:lvl w:ilvl="0" w:tplc="F356F500">
      <w:start w:val="1"/>
      <w:numFmt w:val="bullet"/>
      <w:lvlText w:val=""/>
      <w:lvlJc w:val="left"/>
      <w:pPr>
        <w:ind w:left="720" w:hanging="360"/>
      </w:pPr>
      <w:rPr>
        <w:rFonts w:ascii="Wingdings" w:hAnsi="Wingdings" w:hint="default"/>
        <w:color w:val="4472C4" w:themeColor="accent1"/>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0" w15:restartNumberingAfterBreak="0">
    <w:nsid w:val="7F9D6CA9"/>
    <w:multiLevelType w:val="hybridMultilevel"/>
    <w:tmpl w:val="D4E62FD2"/>
    <w:lvl w:ilvl="0" w:tplc="F356F500">
      <w:start w:val="1"/>
      <w:numFmt w:val="bullet"/>
      <w:lvlText w:val=""/>
      <w:lvlJc w:val="left"/>
      <w:pPr>
        <w:ind w:left="1080" w:hanging="360"/>
      </w:pPr>
      <w:rPr>
        <w:rFonts w:ascii="Wingdings" w:hAnsi="Wingdings" w:hint="default"/>
        <w:color w:val="4472C4" w:themeColor="accen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258557195">
    <w:abstractNumId w:val="97"/>
  </w:num>
  <w:num w:numId="2" w16cid:durableId="1372344984">
    <w:abstractNumId w:val="38"/>
  </w:num>
  <w:num w:numId="3" w16cid:durableId="1516924907">
    <w:abstractNumId w:val="79"/>
  </w:num>
  <w:num w:numId="4" w16cid:durableId="1695423585">
    <w:abstractNumId w:val="84"/>
  </w:num>
  <w:num w:numId="5" w16cid:durableId="1133331238">
    <w:abstractNumId w:val="15"/>
  </w:num>
  <w:num w:numId="6" w16cid:durableId="619381928">
    <w:abstractNumId w:val="91"/>
  </w:num>
  <w:num w:numId="7" w16cid:durableId="116992488">
    <w:abstractNumId w:val="17"/>
  </w:num>
  <w:num w:numId="8" w16cid:durableId="2100371780">
    <w:abstractNumId w:val="42"/>
  </w:num>
  <w:num w:numId="9" w16cid:durableId="192498789">
    <w:abstractNumId w:val="45"/>
  </w:num>
  <w:num w:numId="10" w16cid:durableId="1607735969">
    <w:abstractNumId w:val="65"/>
  </w:num>
  <w:num w:numId="11" w16cid:durableId="1957760643">
    <w:abstractNumId w:val="72"/>
  </w:num>
  <w:num w:numId="12" w16cid:durableId="334693593">
    <w:abstractNumId w:val="3"/>
  </w:num>
  <w:num w:numId="13" w16cid:durableId="1284993239">
    <w:abstractNumId w:val="41"/>
  </w:num>
  <w:num w:numId="14" w16cid:durableId="1221862857">
    <w:abstractNumId w:val="64"/>
  </w:num>
  <w:num w:numId="15" w16cid:durableId="189726977">
    <w:abstractNumId w:val="0"/>
  </w:num>
  <w:num w:numId="16" w16cid:durableId="830288928">
    <w:abstractNumId w:val="0"/>
  </w:num>
  <w:num w:numId="17" w16cid:durableId="1989825942">
    <w:abstractNumId w:val="39"/>
  </w:num>
  <w:num w:numId="18" w16cid:durableId="2078893484">
    <w:abstractNumId w:val="52"/>
  </w:num>
  <w:num w:numId="19" w16cid:durableId="1561943746">
    <w:abstractNumId w:val="14"/>
  </w:num>
  <w:num w:numId="20" w16cid:durableId="1778795234">
    <w:abstractNumId w:val="76"/>
  </w:num>
  <w:num w:numId="21" w16cid:durableId="1894540302">
    <w:abstractNumId w:val="49"/>
  </w:num>
  <w:num w:numId="22" w16cid:durableId="135728196">
    <w:abstractNumId w:val="54"/>
  </w:num>
  <w:num w:numId="23" w16cid:durableId="890730166">
    <w:abstractNumId w:val="75"/>
  </w:num>
  <w:num w:numId="24" w16cid:durableId="1858304479">
    <w:abstractNumId w:val="56"/>
  </w:num>
  <w:num w:numId="25" w16cid:durableId="255097816">
    <w:abstractNumId w:val="83"/>
  </w:num>
  <w:num w:numId="26" w16cid:durableId="1562252441">
    <w:abstractNumId w:val="86"/>
  </w:num>
  <w:num w:numId="27" w16cid:durableId="1425613541">
    <w:abstractNumId w:val="67"/>
  </w:num>
  <w:num w:numId="28" w16cid:durableId="266347735">
    <w:abstractNumId w:val="12"/>
  </w:num>
  <w:num w:numId="29" w16cid:durableId="224686483">
    <w:abstractNumId w:val="87"/>
  </w:num>
  <w:num w:numId="30" w16cid:durableId="951788198">
    <w:abstractNumId w:val="94"/>
  </w:num>
  <w:num w:numId="31" w16cid:durableId="2085760646">
    <w:abstractNumId w:val="99"/>
  </w:num>
  <w:num w:numId="32" w16cid:durableId="458693654">
    <w:abstractNumId w:val="10"/>
  </w:num>
  <w:num w:numId="33" w16cid:durableId="182746028">
    <w:abstractNumId w:val="71"/>
  </w:num>
  <w:num w:numId="34" w16cid:durableId="1886260721">
    <w:abstractNumId w:val="93"/>
  </w:num>
  <w:num w:numId="35" w16cid:durableId="233591990">
    <w:abstractNumId w:val="8"/>
  </w:num>
  <w:num w:numId="36" w16cid:durableId="1915049965">
    <w:abstractNumId w:val="34"/>
  </w:num>
  <w:num w:numId="37" w16cid:durableId="49234445">
    <w:abstractNumId w:val="48"/>
  </w:num>
  <w:num w:numId="38" w16cid:durableId="896167301">
    <w:abstractNumId w:val="59"/>
  </w:num>
  <w:num w:numId="39" w16cid:durableId="1802185301">
    <w:abstractNumId w:val="40"/>
  </w:num>
  <w:num w:numId="40" w16cid:durableId="513881426">
    <w:abstractNumId w:val="57"/>
  </w:num>
  <w:num w:numId="41" w16cid:durableId="26105553">
    <w:abstractNumId w:val="80"/>
  </w:num>
  <w:num w:numId="42" w16cid:durableId="588272654">
    <w:abstractNumId w:val="7"/>
  </w:num>
  <w:num w:numId="43" w16cid:durableId="485050653">
    <w:abstractNumId w:val="62"/>
  </w:num>
  <w:num w:numId="44" w16cid:durableId="521893481">
    <w:abstractNumId w:val="73"/>
  </w:num>
  <w:num w:numId="45" w16cid:durableId="2059207432">
    <w:abstractNumId w:val="82"/>
  </w:num>
  <w:num w:numId="46" w16cid:durableId="1749303290">
    <w:abstractNumId w:val="26"/>
  </w:num>
  <w:num w:numId="47" w16cid:durableId="1032730951">
    <w:abstractNumId w:val="13"/>
  </w:num>
  <w:num w:numId="48" w16cid:durableId="1566645692">
    <w:abstractNumId w:val="100"/>
  </w:num>
  <w:num w:numId="49" w16cid:durableId="1235431339">
    <w:abstractNumId w:val="1"/>
  </w:num>
  <w:num w:numId="50" w16cid:durableId="1678848355">
    <w:abstractNumId w:val="66"/>
  </w:num>
  <w:num w:numId="51" w16cid:durableId="1505314960">
    <w:abstractNumId w:val="6"/>
  </w:num>
  <w:num w:numId="52" w16cid:durableId="1029571620">
    <w:abstractNumId w:val="53"/>
  </w:num>
  <w:num w:numId="53" w16cid:durableId="1707482861">
    <w:abstractNumId w:val="90"/>
  </w:num>
  <w:num w:numId="54" w16cid:durableId="1120732603">
    <w:abstractNumId w:val="92"/>
  </w:num>
  <w:num w:numId="55" w16cid:durableId="144667518">
    <w:abstractNumId w:val="23"/>
  </w:num>
  <w:num w:numId="56" w16cid:durableId="18436925">
    <w:abstractNumId w:val="16"/>
  </w:num>
  <w:num w:numId="57" w16cid:durableId="756512887">
    <w:abstractNumId w:val="63"/>
  </w:num>
  <w:num w:numId="58" w16cid:durableId="1488589509">
    <w:abstractNumId w:val="55"/>
  </w:num>
  <w:num w:numId="59" w16cid:durableId="944117931">
    <w:abstractNumId w:val="46"/>
  </w:num>
  <w:num w:numId="60" w16cid:durableId="163055391">
    <w:abstractNumId w:val="77"/>
  </w:num>
  <w:num w:numId="61" w16cid:durableId="212279778">
    <w:abstractNumId w:val="9"/>
  </w:num>
  <w:num w:numId="62" w16cid:durableId="1899514225">
    <w:abstractNumId w:val="61"/>
  </w:num>
  <w:num w:numId="63" w16cid:durableId="1535925416">
    <w:abstractNumId w:val="22"/>
  </w:num>
  <w:num w:numId="64" w16cid:durableId="1929265060">
    <w:abstractNumId w:val="11"/>
  </w:num>
  <w:num w:numId="65" w16cid:durableId="1021659981">
    <w:abstractNumId w:val="20"/>
  </w:num>
  <w:num w:numId="66" w16cid:durableId="847671158">
    <w:abstractNumId w:val="29"/>
  </w:num>
  <w:num w:numId="67" w16cid:durableId="296184152">
    <w:abstractNumId w:val="89"/>
  </w:num>
  <w:num w:numId="68" w16cid:durableId="950284763">
    <w:abstractNumId w:val="88"/>
  </w:num>
  <w:num w:numId="69" w16cid:durableId="1130778724">
    <w:abstractNumId w:val="19"/>
  </w:num>
  <w:num w:numId="70" w16cid:durableId="1319531938">
    <w:abstractNumId w:val="5"/>
  </w:num>
  <w:num w:numId="71" w16cid:durableId="521555693">
    <w:abstractNumId w:val="81"/>
  </w:num>
  <w:num w:numId="72" w16cid:durableId="767694934">
    <w:abstractNumId w:val="60"/>
  </w:num>
  <w:num w:numId="73" w16cid:durableId="713969898">
    <w:abstractNumId w:val="96"/>
  </w:num>
  <w:num w:numId="74" w16cid:durableId="1964997169">
    <w:abstractNumId w:val="95"/>
  </w:num>
  <w:num w:numId="75" w16cid:durableId="1782990441">
    <w:abstractNumId w:val="74"/>
  </w:num>
  <w:num w:numId="76" w16cid:durableId="233857321">
    <w:abstractNumId w:val="27"/>
  </w:num>
  <w:num w:numId="77" w16cid:durableId="2114355139">
    <w:abstractNumId w:val="18"/>
  </w:num>
  <w:num w:numId="78" w16cid:durableId="1177619536">
    <w:abstractNumId w:val="37"/>
  </w:num>
  <w:num w:numId="79" w16cid:durableId="894239185">
    <w:abstractNumId w:val="32"/>
  </w:num>
  <w:num w:numId="80" w16cid:durableId="1766261827">
    <w:abstractNumId w:val="85"/>
  </w:num>
  <w:num w:numId="81" w16cid:durableId="721245881">
    <w:abstractNumId w:val="47"/>
  </w:num>
  <w:num w:numId="82" w16cid:durableId="978651232">
    <w:abstractNumId w:val="51"/>
  </w:num>
  <w:num w:numId="83" w16cid:durableId="49807374">
    <w:abstractNumId w:val="31"/>
  </w:num>
  <w:num w:numId="84" w16cid:durableId="1373655993">
    <w:abstractNumId w:val="25"/>
  </w:num>
  <w:num w:numId="85" w16cid:durableId="800807320">
    <w:abstractNumId w:val="28"/>
  </w:num>
  <w:num w:numId="86" w16cid:durableId="2130392120">
    <w:abstractNumId w:val="43"/>
  </w:num>
  <w:num w:numId="87" w16cid:durableId="1464696248">
    <w:abstractNumId w:val="42"/>
  </w:num>
  <w:num w:numId="88" w16cid:durableId="165484198">
    <w:abstractNumId w:val="98"/>
  </w:num>
  <w:num w:numId="89" w16cid:durableId="225263038">
    <w:abstractNumId w:val="69"/>
  </w:num>
  <w:num w:numId="90" w16cid:durableId="6754724">
    <w:abstractNumId w:val="42"/>
  </w:num>
  <w:num w:numId="91" w16cid:durableId="488324334">
    <w:abstractNumId w:val="36"/>
  </w:num>
  <w:num w:numId="92" w16cid:durableId="988939786">
    <w:abstractNumId w:val="50"/>
  </w:num>
  <w:num w:numId="93" w16cid:durableId="1353603792">
    <w:abstractNumId w:val="58"/>
  </w:num>
  <w:num w:numId="94" w16cid:durableId="610166750">
    <w:abstractNumId w:val="2"/>
  </w:num>
  <w:num w:numId="95" w16cid:durableId="1207253197">
    <w:abstractNumId w:val="68"/>
  </w:num>
  <w:num w:numId="96" w16cid:durableId="478427583">
    <w:abstractNumId w:val="33"/>
  </w:num>
  <w:num w:numId="97" w16cid:durableId="1017191723">
    <w:abstractNumId w:val="70"/>
  </w:num>
  <w:num w:numId="98" w16cid:durableId="457919084">
    <w:abstractNumId w:val="4"/>
  </w:num>
  <w:num w:numId="99" w16cid:durableId="89282319">
    <w:abstractNumId w:val="21"/>
  </w:num>
  <w:num w:numId="100" w16cid:durableId="933048665">
    <w:abstractNumId w:val="24"/>
  </w:num>
  <w:num w:numId="101" w16cid:durableId="1035303845">
    <w:abstractNumId w:val="44"/>
  </w:num>
  <w:num w:numId="102" w16cid:durableId="612831465">
    <w:abstractNumId w:val="78"/>
  </w:num>
  <w:num w:numId="103" w16cid:durableId="295139963">
    <w:abstractNumId w:val="35"/>
  </w:num>
  <w:num w:numId="104" w16cid:durableId="1702903288">
    <w:abstractNumId w:val="3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212FA"/>
    <w:rsid w:val="000013CD"/>
    <w:rsid w:val="00002A63"/>
    <w:rsid w:val="00003234"/>
    <w:rsid w:val="000051C9"/>
    <w:rsid w:val="00006023"/>
    <w:rsid w:val="00006291"/>
    <w:rsid w:val="0000663E"/>
    <w:rsid w:val="00006846"/>
    <w:rsid w:val="00006A13"/>
    <w:rsid w:val="00007773"/>
    <w:rsid w:val="00010E22"/>
    <w:rsid w:val="00011609"/>
    <w:rsid w:val="00011A20"/>
    <w:rsid w:val="0001432F"/>
    <w:rsid w:val="0001456F"/>
    <w:rsid w:val="000148D8"/>
    <w:rsid w:val="00015F25"/>
    <w:rsid w:val="00015F62"/>
    <w:rsid w:val="0001609B"/>
    <w:rsid w:val="0001761A"/>
    <w:rsid w:val="00021A9B"/>
    <w:rsid w:val="00022708"/>
    <w:rsid w:val="00023056"/>
    <w:rsid w:val="00023E29"/>
    <w:rsid w:val="00026CA4"/>
    <w:rsid w:val="00026F3F"/>
    <w:rsid w:val="00026FCA"/>
    <w:rsid w:val="000271FD"/>
    <w:rsid w:val="000319B2"/>
    <w:rsid w:val="00031EB9"/>
    <w:rsid w:val="00032B97"/>
    <w:rsid w:val="00032DAE"/>
    <w:rsid w:val="00033BA4"/>
    <w:rsid w:val="00034301"/>
    <w:rsid w:val="00035AB1"/>
    <w:rsid w:val="000361D5"/>
    <w:rsid w:val="000364DF"/>
    <w:rsid w:val="000366D5"/>
    <w:rsid w:val="00037340"/>
    <w:rsid w:val="00037C88"/>
    <w:rsid w:val="00037F8D"/>
    <w:rsid w:val="000400EC"/>
    <w:rsid w:val="00041373"/>
    <w:rsid w:val="000417C3"/>
    <w:rsid w:val="00041D21"/>
    <w:rsid w:val="00042509"/>
    <w:rsid w:val="0004369B"/>
    <w:rsid w:val="000452BA"/>
    <w:rsid w:val="00046237"/>
    <w:rsid w:val="000462D5"/>
    <w:rsid w:val="00046748"/>
    <w:rsid w:val="00046822"/>
    <w:rsid w:val="0005024D"/>
    <w:rsid w:val="000518A4"/>
    <w:rsid w:val="00051A0D"/>
    <w:rsid w:val="00051CBA"/>
    <w:rsid w:val="000520D6"/>
    <w:rsid w:val="00053B01"/>
    <w:rsid w:val="00053E78"/>
    <w:rsid w:val="00054967"/>
    <w:rsid w:val="000550D9"/>
    <w:rsid w:val="0005594D"/>
    <w:rsid w:val="0005738A"/>
    <w:rsid w:val="00057E19"/>
    <w:rsid w:val="00060F0C"/>
    <w:rsid w:val="000621AD"/>
    <w:rsid w:val="00063838"/>
    <w:rsid w:val="00064600"/>
    <w:rsid w:val="00064738"/>
    <w:rsid w:val="00064807"/>
    <w:rsid w:val="0006666F"/>
    <w:rsid w:val="000702CA"/>
    <w:rsid w:val="000708FB"/>
    <w:rsid w:val="0007129A"/>
    <w:rsid w:val="000714BE"/>
    <w:rsid w:val="00071D57"/>
    <w:rsid w:val="00073F4F"/>
    <w:rsid w:val="0007491A"/>
    <w:rsid w:val="00074F5C"/>
    <w:rsid w:val="00075609"/>
    <w:rsid w:val="0007577D"/>
    <w:rsid w:val="00076EEA"/>
    <w:rsid w:val="0007737F"/>
    <w:rsid w:val="0007742F"/>
    <w:rsid w:val="00080D57"/>
    <w:rsid w:val="0008143B"/>
    <w:rsid w:val="00082B05"/>
    <w:rsid w:val="00082E85"/>
    <w:rsid w:val="00082EEB"/>
    <w:rsid w:val="0008397C"/>
    <w:rsid w:val="00083FD7"/>
    <w:rsid w:val="00084112"/>
    <w:rsid w:val="00084478"/>
    <w:rsid w:val="00085AEE"/>
    <w:rsid w:val="000912EB"/>
    <w:rsid w:val="00092032"/>
    <w:rsid w:val="000935BF"/>
    <w:rsid w:val="00093F51"/>
    <w:rsid w:val="000945C3"/>
    <w:rsid w:val="00094F64"/>
    <w:rsid w:val="00095805"/>
    <w:rsid w:val="000958C5"/>
    <w:rsid w:val="00095AAB"/>
    <w:rsid w:val="00095D9E"/>
    <w:rsid w:val="00096288"/>
    <w:rsid w:val="0009666F"/>
    <w:rsid w:val="0009790D"/>
    <w:rsid w:val="00097A27"/>
    <w:rsid w:val="000A050A"/>
    <w:rsid w:val="000A20EA"/>
    <w:rsid w:val="000A2B88"/>
    <w:rsid w:val="000A2BFC"/>
    <w:rsid w:val="000A3240"/>
    <w:rsid w:val="000A4918"/>
    <w:rsid w:val="000A4AF5"/>
    <w:rsid w:val="000A5253"/>
    <w:rsid w:val="000A53D0"/>
    <w:rsid w:val="000A5CA2"/>
    <w:rsid w:val="000A6329"/>
    <w:rsid w:val="000B14A1"/>
    <w:rsid w:val="000B2096"/>
    <w:rsid w:val="000B72A6"/>
    <w:rsid w:val="000B79DD"/>
    <w:rsid w:val="000C03BE"/>
    <w:rsid w:val="000C1A91"/>
    <w:rsid w:val="000C35F2"/>
    <w:rsid w:val="000C3A58"/>
    <w:rsid w:val="000C53B4"/>
    <w:rsid w:val="000C6D6F"/>
    <w:rsid w:val="000C7746"/>
    <w:rsid w:val="000D0676"/>
    <w:rsid w:val="000D1815"/>
    <w:rsid w:val="000D3B41"/>
    <w:rsid w:val="000D6786"/>
    <w:rsid w:val="000D6C40"/>
    <w:rsid w:val="000D6C61"/>
    <w:rsid w:val="000D72C9"/>
    <w:rsid w:val="000E06BB"/>
    <w:rsid w:val="000E10ED"/>
    <w:rsid w:val="000E350A"/>
    <w:rsid w:val="000E470B"/>
    <w:rsid w:val="000E4927"/>
    <w:rsid w:val="000E497B"/>
    <w:rsid w:val="000E52E0"/>
    <w:rsid w:val="000E7309"/>
    <w:rsid w:val="000E7853"/>
    <w:rsid w:val="000F0D8D"/>
    <w:rsid w:val="000F319C"/>
    <w:rsid w:val="000F40C5"/>
    <w:rsid w:val="000F4223"/>
    <w:rsid w:val="000F4D7D"/>
    <w:rsid w:val="000F65B3"/>
    <w:rsid w:val="000F777E"/>
    <w:rsid w:val="000F799A"/>
    <w:rsid w:val="001000AD"/>
    <w:rsid w:val="001013D4"/>
    <w:rsid w:val="00101C14"/>
    <w:rsid w:val="0010364D"/>
    <w:rsid w:val="0011159A"/>
    <w:rsid w:val="001117B8"/>
    <w:rsid w:val="00111FB6"/>
    <w:rsid w:val="00112392"/>
    <w:rsid w:val="00112E46"/>
    <w:rsid w:val="00113B0F"/>
    <w:rsid w:val="00113E60"/>
    <w:rsid w:val="00114EB2"/>
    <w:rsid w:val="00116C57"/>
    <w:rsid w:val="001171AC"/>
    <w:rsid w:val="00117CF8"/>
    <w:rsid w:val="0012004D"/>
    <w:rsid w:val="00122B4E"/>
    <w:rsid w:val="00125D1F"/>
    <w:rsid w:val="001273DB"/>
    <w:rsid w:val="0012791B"/>
    <w:rsid w:val="00127C25"/>
    <w:rsid w:val="00127F22"/>
    <w:rsid w:val="00130A64"/>
    <w:rsid w:val="00130C2A"/>
    <w:rsid w:val="001319B8"/>
    <w:rsid w:val="00131D21"/>
    <w:rsid w:val="001321E4"/>
    <w:rsid w:val="001333F7"/>
    <w:rsid w:val="0013441D"/>
    <w:rsid w:val="00135977"/>
    <w:rsid w:val="00136CF5"/>
    <w:rsid w:val="00136D80"/>
    <w:rsid w:val="00136E75"/>
    <w:rsid w:val="0013707B"/>
    <w:rsid w:val="00137C3C"/>
    <w:rsid w:val="001405F9"/>
    <w:rsid w:val="00141737"/>
    <w:rsid w:val="001429FE"/>
    <w:rsid w:val="00143269"/>
    <w:rsid w:val="00145059"/>
    <w:rsid w:val="001455DF"/>
    <w:rsid w:val="001456ED"/>
    <w:rsid w:val="00145DEC"/>
    <w:rsid w:val="00145F23"/>
    <w:rsid w:val="00146568"/>
    <w:rsid w:val="001470AB"/>
    <w:rsid w:val="001476A7"/>
    <w:rsid w:val="00147B63"/>
    <w:rsid w:val="001502B2"/>
    <w:rsid w:val="00150702"/>
    <w:rsid w:val="00152581"/>
    <w:rsid w:val="001527D8"/>
    <w:rsid w:val="00152938"/>
    <w:rsid w:val="00154576"/>
    <w:rsid w:val="00155504"/>
    <w:rsid w:val="00155601"/>
    <w:rsid w:val="001557C5"/>
    <w:rsid w:val="00156DAD"/>
    <w:rsid w:val="001601F4"/>
    <w:rsid w:val="0016022D"/>
    <w:rsid w:val="0016143A"/>
    <w:rsid w:val="0016150F"/>
    <w:rsid w:val="00161D03"/>
    <w:rsid w:val="00162BD5"/>
    <w:rsid w:val="00162F9B"/>
    <w:rsid w:val="00162FE4"/>
    <w:rsid w:val="0016518B"/>
    <w:rsid w:val="001670BA"/>
    <w:rsid w:val="0016742C"/>
    <w:rsid w:val="00167DF3"/>
    <w:rsid w:val="00172AB3"/>
    <w:rsid w:val="001739E4"/>
    <w:rsid w:val="00173E55"/>
    <w:rsid w:val="00176F6B"/>
    <w:rsid w:val="00177B39"/>
    <w:rsid w:val="0017D430"/>
    <w:rsid w:val="00180FFE"/>
    <w:rsid w:val="00181733"/>
    <w:rsid w:val="001819E6"/>
    <w:rsid w:val="00181F96"/>
    <w:rsid w:val="00185F7F"/>
    <w:rsid w:val="00186705"/>
    <w:rsid w:val="00186BF7"/>
    <w:rsid w:val="001873EB"/>
    <w:rsid w:val="001877D3"/>
    <w:rsid w:val="00187DB7"/>
    <w:rsid w:val="00187F72"/>
    <w:rsid w:val="001904D8"/>
    <w:rsid w:val="0019076A"/>
    <w:rsid w:val="001911B4"/>
    <w:rsid w:val="00191847"/>
    <w:rsid w:val="00191F2D"/>
    <w:rsid w:val="001921C6"/>
    <w:rsid w:val="00192535"/>
    <w:rsid w:val="00193221"/>
    <w:rsid w:val="0019397D"/>
    <w:rsid w:val="00193ECC"/>
    <w:rsid w:val="0019653A"/>
    <w:rsid w:val="001979BD"/>
    <w:rsid w:val="001A0F94"/>
    <w:rsid w:val="001A15AA"/>
    <w:rsid w:val="001A1C8F"/>
    <w:rsid w:val="001A1D7D"/>
    <w:rsid w:val="001A24AD"/>
    <w:rsid w:val="001A34A4"/>
    <w:rsid w:val="001A4112"/>
    <w:rsid w:val="001A4219"/>
    <w:rsid w:val="001A4CEE"/>
    <w:rsid w:val="001A5350"/>
    <w:rsid w:val="001A53B4"/>
    <w:rsid w:val="001A7CFF"/>
    <w:rsid w:val="001B0CE3"/>
    <w:rsid w:val="001B268B"/>
    <w:rsid w:val="001B508B"/>
    <w:rsid w:val="001B5594"/>
    <w:rsid w:val="001B5A02"/>
    <w:rsid w:val="001B5B2B"/>
    <w:rsid w:val="001B5CC6"/>
    <w:rsid w:val="001B61DF"/>
    <w:rsid w:val="001B6232"/>
    <w:rsid w:val="001B7DFA"/>
    <w:rsid w:val="001C00D1"/>
    <w:rsid w:val="001C2BEA"/>
    <w:rsid w:val="001C2E28"/>
    <w:rsid w:val="001C439C"/>
    <w:rsid w:val="001C555E"/>
    <w:rsid w:val="001C5891"/>
    <w:rsid w:val="001C6426"/>
    <w:rsid w:val="001C730B"/>
    <w:rsid w:val="001D0870"/>
    <w:rsid w:val="001D3B7D"/>
    <w:rsid w:val="001D5672"/>
    <w:rsid w:val="001D6E73"/>
    <w:rsid w:val="001E061C"/>
    <w:rsid w:val="001E0856"/>
    <w:rsid w:val="001E0FA2"/>
    <w:rsid w:val="001E1997"/>
    <w:rsid w:val="001E1D00"/>
    <w:rsid w:val="001E1F19"/>
    <w:rsid w:val="001E28EF"/>
    <w:rsid w:val="001E555A"/>
    <w:rsid w:val="001E7513"/>
    <w:rsid w:val="001E796A"/>
    <w:rsid w:val="001F1963"/>
    <w:rsid w:val="001F2225"/>
    <w:rsid w:val="001F25B6"/>
    <w:rsid w:val="001F4CFA"/>
    <w:rsid w:val="001F530C"/>
    <w:rsid w:val="001F612B"/>
    <w:rsid w:val="001F748A"/>
    <w:rsid w:val="0020416C"/>
    <w:rsid w:val="00204714"/>
    <w:rsid w:val="002058D0"/>
    <w:rsid w:val="002062A8"/>
    <w:rsid w:val="00206A76"/>
    <w:rsid w:val="00210B0B"/>
    <w:rsid w:val="002110FE"/>
    <w:rsid w:val="002113B2"/>
    <w:rsid w:val="002118F6"/>
    <w:rsid w:val="00211C7B"/>
    <w:rsid w:val="00212D90"/>
    <w:rsid w:val="00213356"/>
    <w:rsid w:val="00213811"/>
    <w:rsid w:val="00213870"/>
    <w:rsid w:val="00217460"/>
    <w:rsid w:val="00217CBB"/>
    <w:rsid w:val="00217F25"/>
    <w:rsid w:val="002212BB"/>
    <w:rsid w:val="00221B29"/>
    <w:rsid w:val="00222C4A"/>
    <w:rsid w:val="00224A63"/>
    <w:rsid w:val="00225F31"/>
    <w:rsid w:val="00226848"/>
    <w:rsid w:val="00227D8F"/>
    <w:rsid w:val="00230188"/>
    <w:rsid w:val="0023163B"/>
    <w:rsid w:val="00234C2D"/>
    <w:rsid w:val="0023581C"/>
    <w:rsid w:val="00235E78"/>
    <w:rsid w:val="00236607"/>
    <w:rsid w:val="002372A7"/>
    <w:rsid w:val="002403C2"/>
    <w:rsid w:val="00240B82"/>
    <w:rsid w:val="002439BF"/>
    <w:rsid w:val="002448CB"/>
    <w:rsid w:val="002449E5"/>
    <w:rsid w:val="00245540"/>
    <w:rsid w:val="00245ED4"/>
    <w:rsid w:val="0024607E"/>
    <w:rsid w:val="002465CA"/>
    <w:rsid w:val="00246640"/>
    <w:rsid w:val="0024728B"/>
    <w:rsid w:val="0025085E"/>
    <w:rsid w:val="00250C36"/>
    <w:rsid w:val="00254EA1"/>
    <w:rsid w:val="00255A02"/>
    <w:rsid w:val="00257A25"/>
    <w:rsid w:val="00260AD0"/>
    <w:rsid w:val="00260C01"/>
    <w:rsid w:val="00261DFA"/>
    <w:rsid w:val="002623FD"/>
    <w:rsid w:val="00262459"/>
    <w:rsid w:val="002631C6"/>
    <w:rsid w:val="002638CD"/>
    <w:rsid w:val="00263DFD"/>
    <w:rsid w:val="002645F9"/>
    <w:rsid w:val="00265C2F"/>
    <w:rsid w:val="002660D4"/>
    <w:rsid w:val="00267101"/>
    <w:rsid w:val="002672FB"/>
    <w:rsid w:val="0027047A"/>
    <w:rsid w:val="00270C50"/>
    <w:rsid w:val="00272497"/>
    <w:rsid w:val="002734EE"/>
    <w:rsid w:val="00274C80"/>
    <w:rsid w:val="002755A5"/>
    <w:rsid w:val="00277440"/>
    <w:rsid w:val="002802FD"/>
    <w:rsid w:val="00281462"/>
    <w:rsid w:val="00281BA3"/>
    <w:rsid w:val="0028256B"/>
    <w:rsid w:val="002825C4"/>
    <w:rsid w:val="00283D80"/>
    <w:rsid w:val="0028425B"/>
    <w:rsid w:val="002846D4"/>
    <w:rsid w:val="00286684"/>
    <w:rsid w:val="00286F2B"/>
    <w:rsid w:val="0029016E"/>
    <w:rsid w:val="00291060"/>
    <w:rsid w:val="002923C9"/>
    <w:rsid w:val="00293831"/>
    <w:rsid w:val="0029503B"/>
    <w:rsid w:val="00296D65"/>
    <w:rsid w:val="002972CF"/>
    <w:rsid w:val="0029742A"/>
    <w:rsid w:val="002A04B6"/>
    <w:rsid w:val="002A0747"/>
    <w:rsid w:val="002A1ACA"/>
    <w:rsid w:val="002A22CD"/>
    <w:rsid w:val="002A308C"/>
    <w:rsid w:val="002A3BFF"/>
    <w:rsid w:val="002A4187"/>
    <w:rsid w:val="002A4B74"/>
    <w:rsid w:val="002A4D7A"/>
    <w:rsid w:val="002A5CC5"/>
    <w:rsid w:val="002A5E53"/>
    <w:rsid w:val="002B0152"/>
    <w:rsid w:val="002B05C1"/>
    <w:rsid w:val="002B1B87"/>
    <w:rsid w:val="002B2EEE"/>
    <w:rsid w:val="002B38BB"/>
    <w:rsid w:val="002B3F5E"/>
    <w:rsid w:val="002B3FCC"/>
    <w:rsid w:val="002B426B"/>
    <w:rsid w:val="002B54DD"/>
    <w:rsid w:val="002B55B8"/>
    <w:rsid w:val="002B5EB6"/>
    <w:rsid w:val="002B63BA"/>
    <w:rsid w:val="002B7601"/>
    <w:rsid w:val="002B76E5"/>
    <w:rsid w:val="002B7DB2"/>
    <w:rsid w:val="002C044D"/>
    <w:rsid w:val="002C0A6F"/>
    <w:rsid w:val="002C2150"/>
    <w:rsid w:val="002C26BF"/>
    <w:rsid w:val="002C2E8D"/>
    <w:rsid w:val="002C32AB"/>
    <w:rsid w:val="002C5C7D"/>
    <w:rsid w:val="002C608A"/>
    <w:rsid w:val="002C6185"/>
    <w:rsid w:val="002C759A"/>
    <w:rsid w:val="002C77A6"/>
    <w:rsid w:val="002D00DF"/>
    <w:rsid w:val="002D0E78"/>
    <w:rsid w:val="002D308C"/>
    <w:rsid w:val="002D5368"/>
    <w:rsid w:val="002D550C"/>
    <w:rsid w:val="002D61D3"/>
    <w:rsid w:val="002D6591"/>
    <w:rsid w:val="002D7741"/>
    <w:rsid w:val="002E0825"/>
    <w:rsid w:val="002E0FB3"/>
    <w:rsid w:val="002E14AC"/>
    <w:rsid w:val="002E4EB0"/>
    <w:rsid w:val="002E60FF"/>
    <w:rsid w:val="002E77E1"/>
    <w:rsid w:val="002F0215"/>
    <w:rsid w:val="002F06AC"/>
    <w:rsid w:val="002F0E9D"/>
    <w:rsid w:val="002F1236"/>
    <w:rsid w:val="002F143C"/>
    <w:rsid w:val="002F266D"/>
    <w:rsid w:val="002F4230"/>
    <w:rsid w:val="002F5D49"/>
    <w:rsid w:val="002F6546"/>
    <w:rsid w:val="002F6E75"/>
    <w:rsid w:val="002F74C4"/>
    <w:rsid w:val="002F7680"/>
    <w:rsid w:val="00300B73"/>
    <w:rsid w:val="00301013"/>
    <w:rsid w:val="003013C8"/>
    <w:rsid w:val="0030152A"/>
    <w:rsid w:val="00302D57"/>
    <w:rsid w:val="00302E41"/>
    <w:rsid w:val="00303E8C"/>
    <w:rsid w:val="003055DE"/>
    <w:rsid w:val="003068CD"/>
    <w:rsid w:val="00306D7E"/>
    <w:rsid w:val="00306DB0"/>
    <w:rsid w:val="00310185"/>
    <w:rsid w:val="003117AC"/>
    <w:rsid w:val="00311AFD"/>
    <w:rsid w:val="00311CBC"/>
    <w:rsid w:val="00313CF7"/>
    <w:rsid w:val="00315341"/>
    <w:rsid w:val="0031638A"/>
    <w:rsid w:val="00316F33"/>
    <w:rsid w:val="0032126B"/>
    <w:rsid w:val="00322859"/>
    <w:rsid w:val="0032413F"/>
    <w:rsid w:val="00325A56"/>
    <w:rsid w:val="003278FE"/>
    <w:rsid w:val="0032799C"/>
    <w:rsid w:val="003301E2"/>
    <w:rsid w:val="00330A61"/>
    <w:rsid w:val="0033144E"/>
    <w:rsid w:val="003324D8"/>
    <w:rsid w:val="003328D8"/>
    <w:rsid w:val="00333BD4"/>
    <w:rsid w:val="00335AF4"/>
    <w:rsid w:val="003366DA"/>
    <w:rsid w:val="00336B74"/>
    <w:rsid w:val="00336DD1"/>
    <w:rsid w:val="003402F8"/>
    <w:rsid w:val="00340F15"/>
    <w:rsid w:val="00341F14"/>
    <w:rsid w:val="0034227A"/>
    <w:rsid w:val="0034270B"/>
    <w:rsid w:val="00342D6B"/>
    <w:rsid w:val="00342E45"/>
    <w:rsid w:val="003430B9"/>
    <w:rsid w:val="00343301"/>
    <w:rsid w:val="003433E2"/>
    <w:rsid w:val="0034360B"/>
    <w:rsid w:val="00347A54"/>
    <w:rsid w:val="00347FF1"/>
    <w:rsid w:val="003508A5"/>
    <w:rsid w:val="003518E9"/>
    <w:rsid w:val="00352691"/>
    <w:rsid w:val="00352D2B"/>
    <w:rsid w:val="00352F7C"/>
    <w:rsid w:val="003530C5"/>
    <w:rsid w:val="0035412D"/>
    <w:rsid w:val="003549C8"/>
    <w:rsid w:val="00355502"/>
    <w:rsid w:val="00357D8A"/>
    <w:rsid w:val="003610E9"/>
    <w:rsid w:val="00361D48"/>
    <w:rsid w:val="00363D3C"/>
    <w:rsid w:val="00365217"/>
    <w:rsid w:val="00366A36"/>
    <w:rsid w:val="003672B6"/>
    <w:rsid w:val="00367844"/>
    <w:rsid w:val="00367DF7"/>
    <w:rsid w:val="00375424"/>
    <w:rsid w:val="0037558C"/>
    <w:rsid w:val="0037655A"/>
    <w:rsid w:val="00376695"/>
    <w:rsid w:val="00377B96"/>
    <w:rsid w:val="0038029C"/>
    <w:rsid w:val="003808D6"/>
    <w:rsid w:val="00380DF5"/>
    <w:rsid w:val="003811C6"/>
    <w:rsid w:val="00381284"/>
    <w:rsid w:val="00381565"/>
    <w:rsid w:val="0038175D"/>
    <w:rsid w:val="0038334E"/>
    <w:rsid w:val="00383691"/>
    <w:rsid w:val="00384816"/>
    <w:rsid w:val="003856E6"/>
    <w:rsid w:val="0039068C"/>
    <w:rsid w:val="00390816"/>
    <w:rsid w:val="00391D77"/>
    <w:rsid w:val="00392802"/>
    <w:rsid w:val="00392B28"/>
    <w:rsid w:val="00393419"/>
    <w:rsid w:val="00393458"/>
    <w:rsid w:val="003935EB"/>
    <w:rsid w:val="00393804"/>
    <w:rsid w:val="00393C8F"/>
    <w:rsid w:val="00393E8E"/>
    <w:rsid w:val="003943CB"/>
    <w:rsid w:val="0039491D"/>
    <w:rsid w:val="00396013"/>
    <w:rsid w:val="003969E3"/>
    <w:rsid w:val="00396B99"/>
    <w:rsid w:val="00396D43"/>
    <w:rsid w:val="003A0912"/>
    <w:rsid w:val="003A0B2E"/>
    <w:rsid w:val="003A0D42"/>
    <w:rsid w:val="003A2E87"/>
    <w:rsid w:val="003A7794"/>
    <w:rsid w:val="003B06AE"/>
    <w:rsid w:val="003B2A06"/>
    <w:rsid w:val="003B3ECF"/>
    <w:rsid w:val="003B4CCC"/>
    <w:rsid w:val="003B59E9"/>
    <w:rsid w:val="003BCED2"/>
    <w:rsid w:val="003C082E"/>
    <w:rsid w:val="003C1609"/>
    <w:rsid w:val="003C1B06"/>
    <w:rsid w:val="003C21BD"/>
    <w:rsid w:val="003C26BC"/>
    <w:rsid w:val="003C2BF1"/>
    <w:rsid w:val="003C63FE"/>
    <w:rsid w:val="003C6645"/>
    <w:rsid w:val="003C6CC1"/>
    <w:rsid w:val="003D09C4"/>
    <w:rsid w:val="003D143A"/>
    <w:rsid w:val="003D168B"/>
    <w:rsid w:val="003D1A3D"/>
    <w:rsid w:val="003D1B6C"/>
    <w:rsid w:val="003D20C5"/>
    <w:rsid w:val="003D2796"/>
    <w:rsid w:val="003D37FA"/>
    <w:rsid w:val="003D3EE6"/>
    <w:rsid w:val="003D5B6F"/>
    <w:rsid w:val="003D637A"/>
    <w:rsid w:val="003D6433"/>
    <w:rsid w:val="003D6783"/>
    <w:rsid w:val="003E1148"/>
    <w:rsid w:val="003E1679"/>
    <w:rsid w:val="003E1737"/>
    <w:rsid w:val="003E1C37"/>
    <w:rsid w:val="003E3477"/>
    <w:rsid w:val="003E540A"/>
    <w:rsid w:val="003E645C"/>
    <w:rsid w:val="003E663E"/>
    <w:rsid w:val="003E6CD6"/>
    <w:rsid w:val="003E6FF2"/>
    <w:rsid w:val="003E7C59"/>
    <w:rsid w:val="003E7FF0"/>
    <w:rsid w:val="003F038F"/>
    <w:rsid w:val="003F03D2"/>
    <w:rsid w:val="003F08ED"/>
    <w:rsid w:val="003F1C71"/>
    <w:rsid w:val="003F3380"/>
    <w:rsid w:val="003F5094"/>
    <w:rsid w:val="003F52D1"/>
    <w:rsid w:val="003F5DDF"/>
    <w:rsid w:val="003F69B0"/>
    <w:rsid w:val="003F79EC"/>
    <w:rsid w:val="003F7DBD"/>
    <w:rsid w:val="00401B12"/>
    <w:rsid w:val="004024F4"/>
    <w:rsid w:val="00403F4B"/>
    <w:rsid w:val="00406D7D"/>
    <w:rsid w:val="00406EF0"/>
    <w:rsid w:val="00407501"/>
    <w:rsid w:val="00407764"/>
    <w:rsid w:val="00407CD4"/>
    <w:rsid w:val="00407D4D"/>
    <w:rsid w:val="00410A64"/>
    <w:rsid w:val="00410CA7"/>
    <w:rsid w:val="0041190A"/>
    <w:rsid w:val="00411961"/>
    <w:rsid w:val="0041201E"/>
    <w:rsid w:val="00413C39"/>
    <w:rsid w:val="00414DF5"/>
    <w:rsid w:val="00415266"/>
    <w:rsid w:val="00416EFE"/>
    <w:rsid w:val="00417F76"/>
    <w:rsid w:val="00421687"/>
    <w:rsid w:val="0042242E"/>
    <w:rsid w:val="00422C8F"/>
    <w:rsid w:val="00426341"/>
    <w:rsid w:val="0042665D"/>
    <w:rsid w:val="00426F2E"/>
    <w:rsid w:val="004272A6"/>
    <w:rsid w:val="004300F3"/>
    <w:rsid w:val="004302D8"/>
    <w:rsid w:val="00430BF0"/>
    <w:rsid w:val="00433D16"/>
    <w:rsid w:val="00434213"/>
    <w:rsid w:val="004348F0"/>
    <w:rsid w:val="00434FF0"/>
    <w:rsid w:val="004361AB"/>
    <w:rsid w:val="00437DBB"/>
    <w:rsid w:val="004415C6"/>
    <w:rsid w:val="004415FE"/>
    <w:rsid w:val="00443726"/>
    <w:rsid w:val="00444CD4"/>
    <w:rsid w:val="0044511E"/>
    <w:rsid w:val="00445A89"/>
    <w:rsid w:val="0044607E"/>
    <w:rsid w:val="00446216"/>
    <w:rsid w:val="0044647C"/>
    <w:rsid w:val="00446DF9"/>
    <w:rsid w:val="0044776F"/>
    <w:rsid w:val="004503B9"/>
    <w:rsid w:val="004528A2"/>
    <w:rsid w:val="00453E71"/>
    <w:rsid w:val="00454A36"/>
    <w:rsid w:val="0046001F"/>
    <w:rsid w:val="00460558"/>
    <w:rsid w:val="00461745"/>
    <w:rsid w:val="00462CEA"/>
    <w:rsid w:val="004647BD"/>
    <w:rsid w:val="00465135"/>
    <w:rsid w:val="004656A9"/>
    <w:rsid w:val="00466146"/>
    <w:rsid w:val="00466186"/>
    <w:rsid w:val="00466A08"/>
    <w:rsid w:val="00467B1D"/>
    <w:rsid w:val="00467BC5"/>
    <w:rsid w:val="0046AAE9"/>
    <w:rsid w:val="004720DC"/>
    <w:rsid w:val="00472703"/>
    <w:rsid w:val="00472944"/>
    <w:rsid w:val="00472D99"/>
    <w:rsid w:val="0047319A"/>
    <w:rsid w:val="00474443"/>
    <w:rsid w:val="0047447F"/>
    <w:rsid w:val="00474AC6"/>
    <w:rsid w:val="00474D5E"/>
    <w:rsid w:val="004751B6"/>
    <w:rsid w:val="00475891"/>
    <w:rsid w:val="004810C5"/>
    <w:rsid w:val="004811B5"/>
    <w:rsid w:val="00483E62"/>
    <w:rsid w:val="004840A2"/>
    <w:rsid w:val="004844BA"/>
    <w:rsid w:val="00484B52"/>
    <w:rsid w:val="004850D9"/>
    <w:rsid w:val="004863A4"/>
    <w:rsid w:val="00487288"/>
    <w:rsid w:val="004875C3"/>
    <w:rsid w:val="00490A30"/>
    <w:rsid w:val="00490DC5"/>
    <w:rsid w:val="0049110B"/>
    <w:rsid w:val="00492D0D"/>
    <w:rsid w:val="00493375"/>
    <w:rsid w:val="00493FFB"/>
    <w:rsid w:val="00494D56"/>
    <w:rsid w:val="00494E53"/>
    <w:rsid w:val="004A404E"/>
    <w:rsid w:val="004A4D87"/>
    <w:rsid w:val="004A5D0B"/>
    <w:rsid w:val="004A6953"/>
    <w:rsid w:val="004A7C98"/>
    <w:rsid w:val="004B08FF"/>
    <w:rsid w:val="004B2205"/>
    <w:rsid w:val="004B669E"/>
    <w:rsid w:val="004B67F1"/>
    <w:rsid w:val="004B6AEF"/>
    <w:rsid w:val="004B7267"/>
    <w:rsid w:val="004B7974"/>
    <w:rsid w:val="004B7CC0"/>
    <w:rsid w:val="004B7E2D"/>
    <w:rsid w:val="004C0227"/>
    <w:rsid w:val="004C0273"/>
    <w:rsid w:val="004C03A7"/>
    <w:rsid w:val="004C0CE6"/>
    <w:rsid w:val="004C0E56"/>
    <w:rsid w:val="004C2567"/>
    <w:rsid w:val="004C48B8"/>
    <w:rsid w:val="004C4C4A"/>
    <w:rsid w:val="004C5793"/>
    <w:rsid w:val="004C69D1"/>
    <w:rsid w:val="004C74F5"/>
    <w:rsid w:val="004D01F5"/>
    <w:rsid w:val="004D05A0"/>
    <w:rsid w:val="004D12A2"/>
    <w:rsid w:val="004D2B35"/>
    <w:rsid w:val="004D4B9B"/>
    <w:rsid w:val="004D5282"/>
    <w:rsid w:val="004D5C75"/>
    <w:rsid w:val="004D6C96"/>
    <w:rsid w:val="004E0E7E"/>
    <w:rsid w:val="004E14C4"/>
    <w:rsid w:val="004E1C62"/>
    <w:rsid w:val="004E1D11"/>
    <w:rsid w:val="004E2360"/>
    <w:rsid w:val="004E29D1"/>
    <w:rsid w:val="004E3197"/>
    <w:rsid w:val="004E4654"/>
    <w:rsid w:val="004E598B"/>
    <w:rsid w:val="004E5E71"/>
    <w:rsid w:val="004E636E"/>
    <w:rsid w:val="004E6DE3"/>
    <w:rsid w:val="004F0524"/>
    <w:rsid w:val="004F066B"/>
    <w:rsid w:val="004F12DF"/>
    <w:rsid w:val="004F193E"/>
    <w:rsid w:val="004F19A0"/>
    <w:rsid w:val="004F1BCB"/>
    <w:rsid w:val="004F469B"/>
    <w:rsid w:val="004F47C5"/>
    <w:rsid w:val="004F4819"/>
    <w:rsid w:val="004F4E57"/>
    <w:rsid w:val="004F5204"/>
    <w:rsid w:val="004F5318"/>
    <w:rsid w:val="00502F46"/>
    <w:rsid w:val="00504D27"/>
    <w:rsid w:val="005070F4"/>
    <w:rsid w:val="00507676"/>
    <w:rsid w:val="005100B3"/>
    <w:rsid w:val="005104CA"/>
    <w:rsid w:val="0051085D"/>
    <w:rsid w:val="00512D70"/>
    <w:rsid w:val="00514DB0"/>
    <w:rsid w:val="005153B1"/>
    <w:rsid w:val="005170E3"/>
    <w:rsid w:val="0051D901"/>
    <w:rsid w:val="005206F9"/>
    <w:rsid w:val="00521612"/>
    <w:rsid w:val="00521CDC"/>
    <w:rsid w:val="005239AC"/>
    <w:rsid w:val="00523F2F"/>
    <w:rsid w:val="00524B39"/>
    <w:rsid w:val="00524B71"/>
    <w:rsid w:val="00525232"/>
    <w:rsid w:val="00525373"/>
    <w:rsid w:val="00525442"/>
    <w:rsid w:val="00525696"/>
    <w:rsid w:val="00526BFB"/>
    <w:rsid w:val="00526C12"/>
    <w:rsid w:val="00530631"/>
    <w:rsid w:val="00531351"/>
    <w:rsid w:val="005318A9"/>
    <w:rsid w:val="00534A86"/>
    <w:rsid w:val="00535094"/>
    <w:rsid w:val="0053514A"/>
    <w:rsid w:val="005353EE"/>
    <w:rsid w:val="005354B6"/>
    <w:rsid w:val="00536F14"/>
    <w:rsid w:val="00537407"/>
    <w:rsid w:val="00540FFD"/>
    <w:rsid w:val="00541394"/>
    <w:rsid w:val="00542BA1"/>
    <w:rsid w:val="0054312B"/>
    <w:rsid w:val="00543942"/>
    <w:rsid w:val="00544E51"/>
    <w:rsid w:val="00544F05"/>
    <w:rsid w:val="005455F3"/>
    <w:rsid w:val="0054639E"/>
    <w:rsid w:val="00547011"/>
    <w:rsid w:val="00547191"/>
    <w:rsid w:val="00552358"/>
    <w:rsid w:val="00555361"/>
    <w:rsid w:val="00556845"/>
    <w:rsid w:val="0056089C"/>
    <w:rsid w:val="005610FC"/>
    <w:rsid w:val="00563B54"/>
    <w:rsid w:val="00563FDF"/>
    <w:rsid w:val="00564A14"/>
    <w:rsid w:val="00564A84"/>
    <w:rsid w:val="005652E4"/>
    <w:rsid w:val="00565626"/>
    <w:rsid w:val="005657F9"/>
    <w:rsid w:val="0056585A"/>
    <w:rsid w:val="005659CA"/>
    <w:rsid w:val="00565A1D"/>
    <w:rsid w:val="00567401"/>
    <w:rsid w:val="0056793F"/>
    <w:rsid w:val="00570B83"/>
    <w:rsid w:val="0057114A"/>
    <w:rsid w:val="00571CDB"/>
    <w:rsid w:val="00572484"/>
    <w:rsid w:val="005734B1"/>
    <w:rsid w:val="005743DA"/>
    <w:rsid w:val="00574DA9"/>
    <w:rsid w:val="0057537D"/>
    <w:rsid w:val="00575B93"/>
    <w:rsid w:val="005775FD"/>
    <w:rsid w:val="0058010C"/>
    <w:rsid w:val="00580853"/>
    <w:rsid w:val="00580980"/>
    <w:rsid w:val="00580DDB"/>
    <w:rsid w:val="005812F0"/>
    <w:rsid w:val="00581957"/>
    <w:rsid w:val="00583573"/>
    <w:rsid w:val="0058366D"/>
    <w:rsid w:val="0058416E"/>
    <w:rsid w:val="00584266"/>
    <w:rsid w:val="00585635"/>
    <w:rsid w:val="00586419"/>
    <w:rsid w:val="005870C4"/>
    <w:rsid w:val="00590C73"/>
    <w:rsid w:val="00591F09"/>
    <w:rsid w:val="00592A99"/>
    <w:rsid w:val="00592F3C"/>
    <w:rsid w:val="005930BB"/>
    <w:rsid w:val="005948AD"/>
    <w:rsid w:val="00594D67"/>
    <w:rsid w:val="005952EE"/>
    <w:rsid w:val="00595586"/>
    <w:rsid w:val="00595A8E"/>
    <w:rsid w:val="00596312"/>
    <w:rsid w:val="00596D9A"/>
    <w:rsid w:val="005A22D2"/>
    <w:rsid w:val="005A3408"/>
    <w:rsid w:val="005A392E"/>
    <w:rsid w:val="005A48DC"/>
    <w:rsid w:val="005A59C4"/>
    <w:rsid w:val="005A6001"/>
    <w:rsid w:val="005A6B8F"/>
    <w:rsid w:val="005A6C0C"/>
    <w:rsid w:val="005A6DCA"/>
    <w:rsid w:val="005A778F"/>
    <w:rsid w:val="005A7F73"/>
    <w:rsid w:val="005B1794"/>
    <w:rsid w:val="005B192C"/>
    <w:rsid w:val="005B608F"/>
    <w:rsid w:val="005B65F1"/>
    <w:rsid w:val="005B6710"/>
    <w:rsid w:val="005B6722"/>
    <w:rsid w:val="005B6F32"/>
    <w:rsid w:val="005B7912"/>
    <w:rsid w:val="005C0347"/>
    <w:rsid w:val="005C09DC"/>
    <w:rsid w:val="005C1734"/>
    <w:rsid w:val="005C1800"/>
    <w:rsid w:val="005C3132"/>
    <w:rsid w:val="005C4428"/>
    <w:rsid w:val="005C56AF"/>
    <w:rsid w:val="005C73F2"/>
    <w:rsid w:val="005D18B4"/>
    <w:rsid w:val="005D2E3D"/>
    <w:rsid w:val="005D4E3A"/>
    <w:rsid w:val="005D5108"/>
    <w:rsid w:val="005D6E0B"/>
    <w:rsid w:val="005E1CF9"/>
    <w:rsid w:val="005E2967"/>
    <w:rsid w:val="005E2DDA"/>
    <w:rsid w:val="005E3A11"/>
    <w:rsid w:val="005E41D2"/>
    <w:rsid w:val="005E43D9"/>
    <w:rsid w:val="005E44F2"/>
    <w:rsid w:val="005E4C90"/>
    <w:rsid w:val="005E6436"/>
    <w:rsid w:val="005E6DE8"/>
    <w:rsid w:val="005E7F7E"/>
    <w:rsid w:val="005F0173"/>
    <w:rsid w:val="005F03C8"/>
    <w:rsid w:val="005F0A02"/>
    <w:rsid w:val="005F2BFE"/>
    <w:rsid w:val="005F2C18"/>
    <w:rsid w:val="005F429C"/>
    <w:rsid w:val="00600865"/>
    <w:rsid w:val="006008E7"/>
    <w:rsid w:val="006010E9"/>
    <w:rsid w:val="006012B3"/>
    <w:rsid w:val="00601B58"/>
    <w:rsid w:val="00606BF9"/>
    <w:rsid w:val="0060C994"/>
    <w:rsid w:val="006104C5"/>
    <w:rsid w:val="00611904"/>
    <w:rsid w:val="00611AA0"/>
    <w:rsid w:val="006133FD"/>
    <w:rsid w:val="00613E6C"/>
    <w:rsid w:val="00613F0A"/>
    <w:rsid w:val="006148FA"/>
    <w:rsid w:val="00614F33"/>
    <w:rsid w:val="00615BCA"/>
    <w:rsid w:val="006169BB"/>
    <w:rsid w:val="00616A78"/>
    <w:rsid w:val="00616D89"/>
    <w:rsid w:val="00616E3E"/>
    <w:rsid w:val="00617C15"/>
    <w:rsid w:val="00617F59"/>
    <w:rsid w:val="00620EB4"/>
    <w:rsid w:val="00622D8C"/>
    <w:rsid w:val="006230CE"/>
    <w:rsid w:val="00623E49"/>
    <w:rsid w:val="00625379"/>
    <w:rsid w:val="0062537D"/>
    <w:rsid w:val="00626140"/>
    <w:rsid w:val="00630134"/>
    <w:rsid w:val="00630B7E"/>
    <w:rsid w:val="00630D39"/>
    <w:rsid w:val="0063100E"/>
    <w:rsid w:val="006311F7"/>
    <w:rsid w:val="00631238"/>
    <w:rsid w:val="00631837"/>
    <w:rsid w:val="00631FB7"/>
    <w:rsid w:val="00633CC0"/>
    <w:rsid w:val="00636025"/>
    <w:rsid w:val="006362B8"/>
    <w:rsid w:val="00636964"/>
    <w:rsid w:val="00636AB7"/>
    <w:rsid w:val="00637347"/>
    <w:rsid w:val="006378F9"/>
    <w:rsid w:val="00640525"/>
    <w:rsid w:val="006419D4"/>
    <w:rsid w:val="00641ADF"/>
    <w:rsid w:val="00641CF0"/>
    <w:rsid w:val="00641DAD"/>
    <w:rsid w:val="0064224B"/>
    <w:rsid w:val="00642795"/>
    <w:rsid w:val="00642E86"/>
    <w:rsid w:val="00643AA4"/>
    <w:rsid w:val="00645FD3"/>
    <w:rsid w:val="00646341"/>
    <w:rsid w:val="00647921"/>
    <w:rsid w:val="00647A48"/>
    <w:rsid w:val="00651312"/>
    <w:rsid w:val="006514D7"/>
    <w:rsid w:val="006518F4"/>
    <w:rsid w:val="00651B65"/>
    <w:rsid w:val="00651D12"/>
    <w:rsid w:val="0065209B"/>
    <w:rsid w:val="00652AEB"/>
    <w:rsid w:val="00652DC9"/>
    <w:rsid w:val="006533F5"/>
    <w:rsid w:val="0065454A"/>
    <w:rsid w:val="00654717"/>
    <w:rsid w:val="0065652F"/>
    <w:rsid w:val="006577A1"/>
    <w:rsid w:val="0066002B"/>
    <w:rsid w:val="006606A6"/>
    <w:rsid w:val="00660E6E"/>
    <w:rsid w:val="006627E3"/>
    <w:rsid w:val="00663412"/>
    <w:rsid w:val="00663AA4"/>
    <w:rsid w:val="00666B84"/>
    <w:rsid w:val="0066735C"/>
    <w:rsid w:val="006702ED"/>
    <w:rsid w:val="00670529"/>
    <w:rsid w:val="006709E8"/>
    <w:rsid w:val="006715EF"/>
    <w:rsid w:val="00671909"/>
    <w:rsid w:val="00671F93"/>
    <w:rsid w:val="006734E4"/>
    <w:rsid w:val="00674DA0"/>
    <w:rsid w:val="006754DE"/>
    <w:rsid w:val="006761E7"/>
    <w:rsid w:val="00676445"/>
    <w:rsid w:val="00676956"/>
    <w:rsid w:val="00677363"/>
    <w:rsid w:val="00677F51"/>
    <w:rsid w:val="00677F6F"/>
    <w:rsid w:val="00680F0B"/>
    <w:rsid w:val="00683A58"/>
    <w:rsid w:val="00683D8A"/>
    <w:rsid w:val="00685D74"/>
    <w:rsid w:val="006865AD"/>
    <w:rsid w:val="006867CA"/>
    <w:rsid w:val="00686CC8"/>
    <w:rsid w:val="00687050"/>
    <w:rsid w:val="006872A9"/>
    <w:rsid w:val="006874FB"/>
    <w:rsid w:val="00690309"/>
    <w:rsid w:val="00690B27"/>
    <w:rsid w:val="00691AA2"/>
    <w:rsid w:val="0069256E"/>
    <w:rsid w:val="00693F4D"/>
    <w:rsid w:val="00694F20"/>
    <w:rsid w:val="0069511D"/>
    <w:rsid w:val="006956D7"/>
    <w:rsid w:val="00695DA9"/>
    <w:rsid w:val="006960FF"/>
    <w:rsid w:val="006977FC"/>
    <w:rsid w:val="006A217F"/>
    <w:rsid w:val="006A3CB9"/>
    <w:rsid w:val="006A4A52"/>
    <w:rsid w:val="006A5212"/>
    <w:rsid w:val="006A5BAC"/>
    <w:rsid w:val="006A6223"/>
    <w:rsid w:val="006A63E7"/>
    <w:rsid w:val="006A6465"/>
    <w:rsid w:val="006B07F2"/>
    <w:rsid w:val="006B0A80"/>
    <w:rsid w:val="006B0CC8"/>
    <w:rsid w:val="006B1EE0"/>
    <w:rsid w:val="006B4477"/>
    <w:rsid w:val="006B558A"/>
    <w:rsid w:val="006B647C"/>
    <w:rsid w:val="006B654A"/>
    <w:rsid w:val="006C0487"/>
    <w:rsid w:val="006C0826"/>
    <w:rsid w:val="006C0F25"/>
    <w:rsid w:val="006C102A"/>
    <w:rsid w:val="006C2BA6"/>
    <w:rsid w:val="006C49F6"/>
    <w:rsid w:val="006C5D13"/>
    <w:rsid w:val="006C5D91"/>
    <w:rsid w:val="006C632C"/>
    <w:rsid w:val="006C6546"/>
    <w:rsid w:val="006C6DCE"/>
    <w:rsid w:val="006D0AC0"/>
    <w:rsid w:val="006D0F7D"/>
    <w:rsid w:val="006D185A"/>
    <w:rsid w:val="006D287A"/>
    <w:rsid w:val="006D2AAF"/>
    <w:rsid w:val="006D32A1"/>
    <w:rsid w:val="006D47D1"/>
    <w:rsid w:val="006D4886"/>
    <w:rsid w:val="006D4DB9"/>
    <w:rsid w:val="006D7011"/>
    <w:rsid w:val="006D7B9E"/>
    <w:rsid w:val="006D7B9F"/>
    <w:rsid w:val="006E1B65"/>
    <w:rsid w:val="006E312C"/>
    <w:rsid w:val="006E3829"/>
    <w:rsid w:val="006E4394"/>
    <w:rsid w:val="006E6AD5"/>
    <w:rsid w:val="006F2506"/>
    <w:rsid w:val="006F6C3A"/>
    <w:rsid w:val="006F7C3F"/>
    <w:rsid w:val="00700DDD"/>
    <w:rsid w:val="00700E2A"/>
    <w:rsid w:val="0070196A"/>
    <w:rsid w:val="00701CE8"/>
    <w:rsid w:val="00702787"/>
    <w:rsid w:val="00703289"/>
    <w:rsid w:val="00703918"/>
    <w:rsid w:val="00703AB7"/>
    <w:rsid w:val="00703C43"/>
    <w:rsid w:val="0070538C"/>
    <w:rsid w:val="00705A10"/>
    <w:rsid w:val="00705CBD"/>
    <w:rsid w:val="00705EDC"/>
    <w:rsid w:val="0070610F"/>
    <w:rsid w:val="00707A79"/>
    <w:rsid w:val="00707BDA"/>
    <w:rsid w:val="00710189"/>
    <w:rsid w:val="007110AA"/>
    <w:rsid w:val="007117C0"/>
    <w:rsid w:val="007119A2"/>
    <w:rsid w:val="00712F48"/>
    <w:rsid w:val="007140CC"/>
    <w:rsid w:val="00717F73"/>
    <w:rsid w:val="007212FA"/>
    <w:rsid w:val="007227B2"/>
    <w:rsid w:val="00722C00"/>
    <w:rsid w:val="007233DC"/>
    <w:rsid w:val="00723E5F"/>
    <w:rsid w:val="0072700B"/>
    <w:rsid w:val="007272DC"/>
    <w:rsid w:val="007276D0"/>
    <w:rsid w:val="00730443"/>
    <w:rsid w:val="0073045B"/>
    <w:rsid w:val="00732A88"/>
    <w:rsid w:val="00733219"/>
    <w:rsid w:val="00733EA2"/>
    <w:rsid w:val="007351C4"/>
    <w:rsid w:val="00735917"/>
    <w:rsid w:val="007366D8"/>
    <w:rsid w:val="00736D3A"/>
    <w:rsid w:val="0073711D"/>
    <w:rsid w:val="00742580"/>
    <w:rsid w:val="0074297C"/>
    <w:rsid w:val="0074348D"/>
    <w:rsid w:val="00743987"/>
    <w:rsid w:val="00743CBF"/>
    <w:rsid w:val="00744A7B"/>
    <w:rsid w:val="00744D12"/>
    <w:rsid w:val="0074555D"/>
    <w:rsid w:val="00745B53"/>
    <w:rsid w:val="00745B59"/>
    <w:rsid w:val="00746428"/>
    <w:rsid w:val="00746DD1"/>
    <w:rsid w:val="00747873"/>
    <w:rsid w:val="0074E75D"/>
    <w:rsid w:val="0075073A"/>
    <w:rsid w:val="00751334"/>
    <w:rsid w:val="00751C96"/>
    <w:rsid w:val="007537CC"/>
    <w:rsid w:val="00753976"/>
    <w:rsid w:val="00756E82"/>
    <w:rsid w:val="00757B18"/>
    <w:rsid w:val="007607FA"/>
    <w:rsid w:val="00761D8D"/>
    <w:rsid w:val="00761E1C"/>
    <w:rsid w:val="00762822"/>
    <w:rsid w:val="00763393"/>
    <w:rsid w:val="0076378D"/>
    <w:rsid w:val="00763C7D"/>
    <w:rsid w:val="0076490A"/>
    <w:rsid w:val="0076599F"/>
    <w:rsid w:val="00766169"/>
    <w:rsid w:val="00766222"/>
    <w:rsid w:val="007705A6"/>
    <w:rsid w:val="0077093B"/>
    <w:rsid w:val="00774F23"/>
    <w:rsid w:val="00775869"/>
    <w:rsid w:val="00775EC3"/>
    <w:rsid w:val="00776745"/>
    <w:rsid w:val="0077730A"/>
    <w:rsid w:val="00777CFF"/>
    <w:rsid w:val="00780366"/>
    <w:rsid w:val="0078148B"/>
    <w:rsid w:val="00782E0E"/>
    <w:rsid w:val="007839C3"/>
    <w:rsid w:val="00783D65"/>
    <w:rsid w:val="00784513"/>
    <w:rsid w:val="0078496D"/>
    <w:rsid w:val="007849AD"/>
    <w:rsid w:val="00784C9B"/>
    <w:rsid w:val="00785AD4"/>
    <w:rsid w:val="00786C09"/>
    <w:rsid w:val="007876E5"/>
    <w:rsid w:val="00790701"/>
    <w:rsid w:val="007923A8"/>
    <w:rsid w:val="00792FDD"/>
    <w:rsid w:val="0079388E"/>
    <w:rsid w:val="00794147"/>
    <w:rsid w:val="007952BE"/>
    <w:rsid w:val="007961E7"/>
    <w:rsid w:val="0079649C"/>
    <w:rsid w:val="007973A2"/>
    <w:rsid w:val="007974D2"/>
    <w:rsid w:val="00797F90"/>
    <w:rsid w:val="007A0E5C"/>
    <w:rsid w:val="007A26C1"/>
    <w:rsid w:val="007A2DDA"/>
    <w:rsid w:val="007A4EB7"/>
    <w:rsid w:val="007A5DB8"/>
    <w:rsid w:val="007B0FCE"/>
    <w:rsid w:val="007B1E47"/>
    <w:rsid w:val="007B3BF3"/>
    <w:rsid w:val="007B4BF3"/>
    <w:rsid w:val="007B5172"/>
    <w:rsid w:val="007B5616"/>
    <w:rsid w:val="007B6B97"/>
    <w:rsid w:val="007C0530"/>
    <w:rsid w:val="007C0D65"/>
    <w:rsid w:val="007C0EF3"/>
    <w:rsid w:val="007C1C11"/>
    <w:rsid w:val="007C21A9"/>
    <w:rsid w:val="007C2AB9"/>
    <w:rsid w:val="007C3928"/>
    <w:rsid w:val="007C5088"/>
    <w:rsid w:val="007C55F9"/>
    <w:rsid w:val="007C6F9B"/>
    <w:rsid w:val="007C7054"/>
    <w:rsid w:val="007C7D46"/>
    <w:rsid w:val="007C7EA0"/>
    <w:rsid w:val="007C7FD9"/>
    <w:rsid w:val="007D0291"/>
    <w:rsid w:val="007D0571"/>
    <w:rsid w:val="007D105E"/>
    <w:rsid w:val="007D2E7A"/>
    <w:rsid w:val="007D3236"/>
    <w:rsid w:val="007D6025"/>
    <w:rsid w:val="007D7CC1"/>
    <w:rsid w:val="007E17DA"/>
    <w:rsid w:val="007E37B0"/>
    <w:rsid w:val="007E3D86"/>
    <w:rsid w:val="007E3E8D"/>
    <w:rsid w:val="007E4309"/>
    <w:rsid w:val="007E47CE"/>
    <w:rsid w:val="007E6AD8"/>
    <w:rsid w:val="007E704E"/>
    <w:rsid w:val="007E7C8F"/>
    <w:rsid w:val="007F0A07"/>
    <w:rsid w:val="007F10B8"/>
    <w:rsid w:val="007F1C00"/>
    <w:rsid w:val="007F2F18"/>
    <w:rsid w:val="007F4939"/>
    <w:rsid w:val="007F4EFA"/>
    <w:rsid w:val="007F5AD2"/>
    <w:rsid w:val="007F6157"/>
    <w:rsid w:val="00803A25"/>
    <w:rsid w:val="00804456"/>
    <w:rsid w:val="00804B53"/>
    <w:rsid w:val="00805097"/>
    <w:rsid w:val="00805EEE"/>
    <w:rsid w:val="008063E0"/>
    <w:rsid w:val="00807304"/>
    <w:rsid w:val="0080748A"/>
    <w:rsid w:val="0080786A"/>
    <w:rsid w:val="008106B0"/>
    <w:rsid w:val="00810941"/>
    <w:rsid w:val="00810AFB"/>
    <w:rsid w:val="00812C8D"/>
    <w:rsid w:val="008142E7"/>
    <w:rsid w:val="00814B15"/>
    <w:rsid w:val="008163AE"/>
    <w:rsid w:val="00816EDE"/>
    <w:rsid w:val="00817A55"/>
    <w:rsid w:val="0082093F"/>
    <w:rsid w:val="00821144"/>
    <w:rsid w:val="008223FE"/>
    <w:rsid w:val="00822980"/>
    <w:rsid w:val="00822D94"/>
    <w:rsid w:val="00823AE6"/>
    <w:rsid w:val="00824A69"/>
    <w:rsid w:val="008255F6"/>
    <w:rsid w:val="00825852"/>
    <w:rsid w:val="00826629"/>
    <w:rsid w:val="00830A14"/>
    <w:rsid w:val="0083523E"/>
    <w:rsid w:val="0083533A"/>
    <w:rsid w:val="0083563A"/>
    <w:rsid w:val="0083754D"/>
    <w:rsid w:val="00840D10"/>
    <w:rsid w:val="00841783"/>
    <w:rsid w:val="0084180E"/>
    <w:rsid w:val="008419C7"/>
    <w:rsid w:val="00842660"/>
    <w:rsid w:val="00842F49"/>
    <w:rsid w:val="0084365E"/>
    <w:rsid w:val="00843E1C"/>
    <w:rsid w:val="008467BD"/>
    <w:rsid w:val="00846D59"/>
    <w:rsid w:val="008471B7"/>
    <w:rsid w:val="008502B7"/>
    <w:rsid w:val="00850785"/>
    <w:rsid w:val="00850BEB"/>
    <w:rsid w:val="00851DB0"/>
    <w:rsid w:val="008521E1"/>
    <w:rsid w:val="0085296F"/>
    <w:rsid w:val="008529EF"/>
    <w:rsid w:val="00853398"/>
    <w:rsid w:val="0085360C"/>
    <w:rsid w:val="00853EC1"/>
    <w:rsid w:val="008555A3"/>
    <w:rsid w:val="00857929"/>
    <w:rsid w:val="008579CC"/>
    <w:rsid w:val="00860098"/>
    <w:rsid w:val="0086009F"/>
    <w:rsid w:val="00861F9B"/>
    <w:rsid w:val="00862866"/>
    <w:rsid w:val="0086309A"/>
    <w:rsid w:val="00864E8A"/>
    <w:rsid w:val="008666AB"/>
    <w:rsid w:val="008678B0"/>
    <w:rsid w:val="00867C1B"/>
    <w:rsid w:val="00870C84"/>
    <w:rsid w:val="00873694"/>
    <w:rsid w:val="00873DEE"/>
    <w:rsid w:val="008742A6"/>
    <w:rsid w:val="008749D4"/>
    <w:rsid w:val="00874A36"/>
    <w:rsid w:val="0087506F"/>
    <w:rsid w:val="0087547D"/>
    <w:rsid w:val="00882516"/>
    <w:rsid w:val="00882A21"/>
    <w:rsid w:val="00883A0F"/>
    <w:rsid w:val="00884556"/>
    <w:rsid w:val="008849BA"/>
    <w:rsid w:val="00884E8E"/>
    <w:rsid w:val="00884E9C"/>
    <w:rsid w:val="008870C1"/>
    <w:rsid w:val="00887E71"/>
    <w:rsid w:val="00890034"/>
    <w:rsid w:val="00890951"/>
    <w:rsid w:val="00892212"/>
    <w:rsid w:val="008929F1"/>
    <w:rsid w:val="00894384"/>
    <w:rsid w:val="00894E96"/>
    <w:rsid w:val="00895957"/>
    <w:rsid w:val="00896D87"/>
    <w:rsid w:val="008A1811"/>
    <w:rsid w:val="008A31ED"/>
    <w:rsid w:val="008A398C"/>
    <w:rsid w:val="008A3ADD"/>
    <w:rsid w:val="008A3B04"/>
    <w:rsid w:val="008A4A79"/>
    <w:rsid w:val="008A58E8"/>
    <w:rsid w:val="008A7022"/>
    <w:rsid w:val="008B1D0D"/>
    <w:rsid w:val="008B231B"/>
    <w:rsid w:val="008B5EF0"/>
    <w:rsid w:val="008B6840"/>
    <w:rsid w:val="008B6EF8"/>
    <w:rsid w:val="008B7733"/>
    <w:rsid w:val="008B775F"/>
    <w:rsid w:val="008B7C25"/>
    <w:rsid w:val="008C030C"/>
    <w:rsid w:val="008C049C"/>
    <w:rsid w:val="008C1060"/>
    <w:rsid w:val="008C1793"/>
    <w:rsid w:val="008C17DD"/>
    <w:rsid w:val="008C1FCA"/>
    <w:rsid w:val="008C2EB2"/>
    <w:rsid w:val="008C64BC"/>
    <w:rsid w:val="008C6FF0"/>
    <w:rsid w:val="008D0131"/>
    <w:rsid w:val="008D243A"/>
    <w:rsid w:val="008D357B"/>
    <w:rsid w:val="008D4A3C"/>
    <w:rsid w:val="008D69AA"/>
    <w:rsid w:val="008D7AFF"/>
    <w:rsid w:val="008E2603"/>
    <w:rsid w:val="008E2F5A"/>
    <w:rsid w:val="008E355B"/>
    <w:rsid w:val="008E46E0"/>
    <w:rsid w:val="008E4D41"/>
    <w:rsid w:val="008E4F8C"/>
    <w:rsid w:val="008E619E"/>
    <w:rsid w:val="008E73F9"/>
    <w:rsid w:val="008E7F44"/>
    <w:rsid w:val="008F0776"/>
    <w:rsid w:val="008F25B5"/>
    <w:rsid w:val="008F38A4"/>
    <w:rsid w:val="008F400F"/>
    <w:rsid w:val="008F5C10"/>
    <w:rsid w:val="008F62F8"/>
    <w:rsid w:val="008F6BC8"/>
    <w:rsid w:val="008F7CAC"/>
    <w:rsid w:val="00900870"/>
    <w:rsid w:val="009012DA"/>
    <w:rsid w:val="00901AF0"/>
    <w:rsid w:val="009025FD"/>
    <w:rsid w:val="00904221"/>
    <w:rsid w:val="0090608B"/>
    <w:rsid w:val="009077B2"/>
    <w:rsid w:val="00907C2B"/>
    <w:rsid w:val="0091192F"/>
    <w:rsid w:val="00912898"/>
    <w:rsid w:val="00912C65"/>
    <w:rsid w:val="009134D6"/>
    <w:rsid w:val="00913983"/>
    <w:rsid w:val="0091465D"/>
    <w:rsid w:val="00914BAF"/>
    <w:rsid w:val="00914CD1"/>
    <w:rsid w:val="0091562B"/>
    <w:rsid w:val="00916CD2"/>
    <w:rsid w:val="00921685"/>
    <w:rsid w:val="00922CF7"/>
    <w:rsid w:val="009248EC"/>
    <w:rsid w:val="00924A23"/>
    <w:rsid w:val="00925444"/>
    <w:rsid w:val="00925C5B"/>
    <w:rsid w:val="00926A04"/>
    <w:rsid w:val="009273EB"/>
    <w:rsid w:val="00930151"/>
    <w:rsid w:val="00930CF2"/>
    <w:rsid w:val="00930E47"/>
    <w:rsid w:val="00933F0F"/>
    <w:rsid w:val="00934B8A"/>
    <w:rsid w:val="00936403"/>
    <w:rsid w:val="009374E4"/>
    <w:rsid w:val="009404CC"/>
    <w:rsid w:val="009418FD"/>
    <w:rsid w:val="0094350F"/>
    <w:rsid w:val="009437BE"/>
    <w:rsid w:val="00946703"/>
    <w:rsid w:val="00951963"/>
    <w:rsid w:val="00951AFD"/>
    <w:rsid w:val="00952208"/>
    <w:rsid w:val="0095286A"/>
    <w:rsid w:val="00952965"/>
    <w:rsid w:val="0095373B"/>
    <w:rsid w:val="009552AA"/>
    <w:rsid w:val="00956720"/>
    <w:rsid w:val="00956893"/>
    <w:rsid w:val="00957970"/>
    <w:rsid w:val="00961327"/>
    <w:rsid w:val="00961D7B"/>
    <w:rsid w:val="00961E53"/>
    <w:rsid w:val="00963489"/>
    <w:rsid w:val="00965AE5"/>
    <w:rsid w:val="00973D69"/>
    <w:rsid w:val="00976DC1"/>
    <w:rsid w:val="0097768A"/>
    <w:rsid w:val="00981BA6"/>
    <w:rsid w:val="00985076"/>
    <w:rsid w:val="009854F4"/>
    <w:rsid w:val="00993F07"/>
    <w:rsid w:val="00994D95"/>
    <w:rsid w:val="0099610D"/>
    <w:rsid w:val="00997008"/>
    <w:rsid w:val="0099722C"/>
    <w:rsid w:val="009973B1"/>
    <w:rsid w:val="009976C4"/>
    <w:rsid w:val="009A0EB8"/>
    <w:rsid w:val="009A17FD"/>
    <w:rsid w:val="009A1EB6"/>
    <w:rsid w:val="009A23CD"/>
    <w:rsid w:val="009A2FD4"/>
    <w:rsid w:val="009A3C83"/>
    <w:rsid w:val="009A6448"/>
    <w:rsid w:val="009A6BE3"/>
    <w:rsid w:val="009AE3CA"/>
    <w:rsid w:val="009B00BF"/>
    <w:rsid w:val="009B089C"/>
    <w:rsid w:val="009B1272"/>
    <w:rsid w:val="009B19E3"/>
    <w:rsid w:val="009B3206"/>
    <w:rsid w:val="009B3702"/>
    <w:rsid w:val="009B3794"/>
    <w:rsid w:val="009B3B84"/>
    <w:rsid w:val="009B48D2"/>
    <w:rsid w:val="009B4F8C"/>
    <w:rsid w:val="009B53DF"/>
    <w:rsid w:val="009B6723"/>
    <w:rsid w:val="009B68C4"/>
    <w:rsid w:val="009B7536"/>
    <w:rsid w:val="009B7617"/>
    <w:rsid w:val="009B7985"/>
    <w:rsid w:val="009C0E5B"/>
    <w:rsid w:val="009C2080"/>
    <w:rsid w:val="009C29E5"/>
    <w:rsid w:val="009C46F7"/>
    <w:rsid w:val="009C4A09"/>
    <w:rsid w:val="009C52C8"/>
    <w:rsid w:val="009C56B4"/>
    <w:rsid w:val="009C6B1C"/>
    <w:rsid w:val="009D040F"/>
    <w:rsid w:val="009D1A7B"/>
    <w:rsid w:val="009D7439"/>
    <w:rsid w:val="009D781F"/>
    <w:rsid w:val="009E0621"/>
    <w:rsid w:val="009E097A"/>
    <w:rsid w:val="009E19C6"/>
    <w:rsid w:val="009E2329"/>
    <w:rsid w:val="009E2452"/>
    <w:rsid w:val="009E28B0"/>
    <w:rsid w:val="009E3480"/>
    <w:rsid w:val="009E406D"/>
    <w:rsid w:val="009E5193"/>
    <w:rsid w:val="009E54E4"/>
    <w:rsid w:val="009E57FF"/>
    <w:rsid w:val="009E5F05"/>
    <w:rsid w:val="009E70B6"/>
    <w:rsid w:val="009E79C9"/>
    <w:rsid w:val="009F030F"/>
    <w:rsid w:val="009F04D8"/>
    <w:rsid w:val="009F1617"/>
    <w:rsid w:val="009F167D"/>
    <w:rsid w:val="009F1781"/>
    <w:rsid w:val="009F24A4"/>
    <w:rsid w:val="009F2EEF"/>
    <w:rsid w:val="009F3C13"/>
    <w:rsid w:val="009F4155"/>
    <w:rsid w:val="009F5BAD"/>
    <w:rsid w:val="009F6336"/>
    <w:rsid w:val="009F6E7B"/>
    <w:rsid w:val="00A008B1"/>
    <w:rsid w:val="00A0243D"/>
    <w:rsid w:val="00A05D6A"/>
    <w:rsid w:val="00A06D73"/>
    <w:rsid w:val="00A07DC1"/>
    <w:rsid w:val="00A1005E"/>
    <w:rsid w:val="00A1550F"/>
    <w:rsid w:val="00A1556D"/>
    <w:rsid w:val="00A15B8C"/>
    <w:rsid w:val="00A15F61"/>
    <w:rsid w:val="00A17F21"/>
    <w:rsid w:val="00A20C62"/>
    <w:rsid w:val="00A2238F"/>
    <w:rsid w:val="00A234FB"/>
    <w:rsid w:val="00A24246"/>
    <w:rsid w:val="00A245DD"/>
    <w:rsid w:val="00A247F9"/>
    <w:rsid w:val="00A24E42"/>
    <w:rsid w:val="00A2705D"/>
    <w:rsid w:val="00A270AB"/>
    <w:rsid w:val="00A2711D"/>
    <w:rsid w:val="00A3154B"/>
    <w:rsid w:val="00A31CB0"/>
    <w:rsid w:val="00A31F73"/>
    <w:rsid w:val="00A3239B"/>
    <w:rsid w:val="00A33929"/>
    <w:rsid w:val="00A3428F"/>
    <w:rsid w:val="00A34355"/>
    <w:rsid w:val="00A36708"/>
    <w:rsid w:val="00A37BC1"/>
    <w:rsid w:val="00A37E26"/>
    <w:rsid w:val="00A40B31"/>
    <w:rsid w:val="00A433CC"/>
    <w:rsid w:val="00A43FE8"/>
    <w:rsid w:val="00A443E2"/>
    <w:rsid w:val="00A47A48"/>
    <w:rsid w:val="00A507FE"/>
    <w:rsid w:val="00A51D5A"/>
    <w:rsid w:val="00A533F5"/>
    <w:rsid w:val="00A53AEE"/>
    <w:rsid w:val="00A54783"/>
    <w:rsid w:val="00A550B7"/>
    <w:rsid w:val="00A55667"/>
    <w:rsid w:val="00A5601E"/>
    <w:rsid w:val="00A57DB1"/>
    <w:rsid w:val="00A60AC7"/>
    <w:rsid w:val="00A60FF0"/>
    <w:rsid w:val="00A62DF8"/>
    <w:rsid w:val="00A62F60"/>
    <w:rsid w:val="00A63853"/>
    <w:rsid w:val="00A6411E"/>
    <w:rsid w:val="00A6454D"/>
    <w:rsid w:val="00A65B89"/>
    <w:rsid w:val="00A665A9"/>
    <w:rsid w:val="00A6732D"/>
    <w:rsid w:val="00A67A1D"/>
    <w:rsid w:val="00A71A39"/>
    <w:rsid w:val="00A71A6C"/>
    <w:rsid w:val="00A72225"/>
    <w:rsid w:val="00A7494A"/>
    <w:rsid w:val="00A74D24"/>
    <w:rsid w:val="00A74D74"/>
    <w:rsid w:val="00A75CB9"/>
    <w:rsid w:val="00A765BE"/>
    <w:rsid w:val="00A7681B"/>
    <w:rsid w:val="00A769DF"/>
    <w:rsid w:val="00A822C3"/>
    <w:rsid w:val="00A82AF7"/>
    <w:rsid w:val="00A838F4"/>
    <w:rsid w:val="00A839C5"/>
    <w:rsid w:val="00A852D9"/>
    <w:rsid w:val="00A879CB"/>
    <w:rsid w:val="00A9071C"/>
    <w:rsid w:val="00A90E72"/>
    <w:rsid w:val="00A935AE"/>
    <w:rsid w:val="00A948C5"/>
    <w:rsid w:val="00A953B9"/>
    <w:rsid w:val="00A955CE"/>
    <w:rsid w:val="00A95A27"/>
    <w:rsid w:val="00A967B7"/>
    <w:rsid w:val="00A97152"/>
    <w:rsid w:val="00AA090B"/>
    <w:rsid w:val="00AA0FD5"/>
    <w:rsid w:val="00AA243C"/>
    <w:rsid w:val="00AA29FE"/>
    <w:rsid w:val="00AA38F2"/>
    <w:rsid w:val="00AA3BE7"/>
    <w:rsid w:val="00AA4546"/>
    <w:rsid w:val="00AA59CD"/>
    <w:rsid w:val="00AA6B88"/>
    <w:rsid w:val="00AA6C95"/>
    <w:rsid w:val="00AB0460"/>
    <w:rsid w:val="00AB12E0"/>
    <w:rsid w:val="00AB135A"/>
    <w:rsid w:val="00AB1D91"/>
    <w:rsid w:val="00AB2D4E"/>
    <w:rsid w:val="00AB697F"/>
    <w:rsid w:val="00AB6BD9"/>
    <w:rsid w:val="00AB768B"/>
    <w:rsid w:val="00ABFEC6"/>
    <w:rsid w:val="00AC0013"/>
    <w:rsid w:val="00AC129A"/>
    <w:rsid w:val="00AC165E"/>
    <w:rsid w:val="00AC2E87"/>
    <w:rsid w:val="00AC317A"/>
    <w:rsid w:val="00AC3DBD"/>
    <w:rsid w:val="00AC4C34"/>
    <w:rsid w:val="00AC4FCC"/>
    <w:rsid w:val="00AC6974"/>
    <w:rsid w:val="00AC6EA1"/>
    <w:rsid w:val="00AC77C5"/>
    <w:rsid w:val="00AD02BE"/>
    <w:rsid w:val="00AD0706"/>
    <w:rsid w:val="00AD0B7C"/>
    <w:rsid w:val="00AD1128"/>
    <w:rsid w:val="00AD29AC"/>
    <w:rsid w:val="00AD3832"/>
    <w:rsid w:val="00AD7715"/>
    <w:rsid w:val="00AD7C60"/>
    <w:rsid w:val="00AD7DF8"/>
    <w:rsid w:val="00AE0DBF"/>
    <w:rsid w:val="00AE1424"/>
    <w:rsid w:val="00AE1438"/>
    <w:rsid w:val="00AE14E5"/>
    <w:rsid w:val="00AE1913"/>
    <w:rsid w:val="00AE1E91"/>
    <w:rsid w:val="00AE32BF"/>
    <w:rsid w:val="00AE39F4"/>
    <w:rsid w:val="00AE5152"/>
    <w:rsid w:val="00AE5A3A"/>
    <w:rsid w:val="00AE612F"/>
    <w:rsid w:val="00AE6421"/>
    <w:rsid w:val="00AE7A95"/>
    <w:rsid w:val="00AE7F93"/>
    <w:rsid w:val="00AF0128"/>
    <w:rsid w:val="00AF12E2"/>
    <w:rsid w:val="00AF2AB9"/>
    <w:rsid w:val="00AF3979"/>
    <w:rsid w:val="00AF4C14"/>
    <w:rsid w:val="00AF681D"/>
    <w:rsid w:val="00AF7387"/>
    <w:rsid w:val="00AF77A0"/>
    <w:rsid w:val="00B00350"/>
    <w:rsid w:val="00B006D6"/>
    <w:rsid w:val="00B018C3"/>
    <w:rsid w:val="00B03948"/>
    <w:rsid w:val="00B04B20"/>
    <w:rsid w:val="00B0667F"/>
    <w:rsid w:val="00B06BB1"/>
    <w:rsid w:val="00B07F26"/>
    <w:rsid w:val="00B1104C"/>
    <w:rsid w:val="00B114DE"/>
    <w:rsid w:val="00B11B4F"/>
    <w:rsid w:val="00B1241D"/>
    <w:rsid w:val="00B12724"/>
    <w:rsid w:val="00B133D2"/>
    <w:rsid w:val="00B155B3"/>
    <w:rsid w:val="00B20FF9"/>
    <w:rsid w:val="00B21540"/>
    <w:rsid w:val="00B22023"/>
    <w:rsid w:val="00B23849"/>
    <w:rsid w:val="00B2478C"/>
    <w:rsid w:val="00B25B54"/>
    <w:rsid w:val="00B267AA"/>
    <w:rsid w:val="00B26F37"/>
    <w:rsid w:val="00B27912"/>
    <w:rsid w:val="00B27E27"/>
    <w:rsid w:val="00B301CD"/>
    <w:rsid w:val="00B3035A"/>
    <w:rsid w:val="00B303CE"/>
    <w:rsid w:val="00B30BF4"/>
    <w:rsid w:val="00B30CB4"/>
    <w:rsid w:val="00B318BA"/>
    <w:rsid w:val="00B32403"/>
    <w:rsid w:val="00B33815"/>
    <w:rsid w:val="00B3455B"/>
    <w:rsid w:val="00B34655"/>
    <w:rsid w:val="00B34C90"/>
    <w:rsid w:val="00B35105"/>
    <w:rsid w:val="00B3546A"/>
    <w:rsid w:val="00B360DC"/>
    <w:rsid w:val="00B3616C"/>
    <w:rsid w:val="00B366BF"/>
    <w:rsid w:val="00B36840"/>
    <w:rsid w:val="00B37F89"/>
    <w:rsid w:val="00B40CAD"/>
    <w:rsid w:val="00B40EDC"/>
    <w:rsid w:val="00B41B02"/>
    <w:rsid w:val="00B41E73"/>
    <w:rsid w:val="00B43D3D"/>
    <w:rsid w:val="00B4433B"/>
    <w:rsid w:val="00B44AC4"/>
    <w:rsid w:val="00B50248"/>
    <w:rsid w:val="00B5030F"/>
    <w:rsid w:val="00B50E7C"/>
    <w:rsid w:val="00B5174B"/>
    <w:rsid w:val="00B54613"/>
    <w:rsid w:val="00B55CF0"/>
    <w:rsid w:val="00B604C2"/>
    <w:rsid w:val="00B60EA2"/>
    <w:rsid w:val="00B61520"/>
    <w:rsid w:val="00B61BA3"/>
    <w:rsid w:val="00B62347"/>
    <w:rsid w:val="00B652E7"/>
    <w:rsid w:val="00B6598B"/>
    <w:rsid w:val="00B66B00"/>
    <w:rsid w:val="00B67D33"/>
    <w:rsid w:val="00B703E3"/>
    <w:rsid w:val="00B71AAA"/>
    <w:rsid w:val="00B7203C"/>
    <w:rsid w:val="00B72B49"/>
    <w:rsid w:val="00B72D3A"/>
    <w:rsid w:val="00B73EC2"/>
    <w:rsid w:val="00B74801"/>
    <w:rsid w:val="00B75028"/>
    <w:rsid w:val="00B75EFA"/>
    <w:rsid w:val="00B76518"/>
    <w:rsid w:val="00B77EE0"/>
    <w:rsid w:val="00B80616"/>
    <w:rsid w:val="00B809D0"/>
    <w:rsid w:val="00B80ADB"/>
    <w:rsid w:val="00B80B0B"/>
    <w:rsid w:val="00B80EBF"/>
    <w:rsid w:val="00B80EF2"/>
    <w:rsid w:val="00B8362E"/>
    <w:rsid w:val="00B84928"/>
    <w:rsid w:val="00B84AB5"/>
    <w:rsid w:val="00B84F7F"/>
    <w:rsid w:val="00B85D7C"/>
    <w:rsid w:val="00B864B1"/>
    <w:rsid w:val="00B86A5E"/>
    <w:rsid w:val="00B90900"/>
    <w:rsid w:val="00B92262"/>
    <w:rsid w:val="00B927A2"/>
    <w:rsid w:val="00B92FE2"/>
    <w:rsid w:val="00B93CC2"/>
    <w:rsid w:val="00B94A15"/>
    <w:rsid w:val="00B958CD"/>
    <w:rsid w:val="00B9754B"/>
    <w:rsid w:val="00BA0429"/>
    <w:rsid w:val="00BA07A1"/>
    <w:rsid w:val="00BA10CE"/>
    <w:rsid w:val="00BA12DA"/>
    <w:rsid w:val="00BA33C9"/>
    <w:rsid w:val="00BA385D"/>
    <w:rsid w:val="00BA3C79"/>
    <w:rsid w:val="00BA4812"/>
    <w:rsid w:val="00BA4D36"/>
    <w:rsid w:val="00BA52FB"/>
    <w:rsid w:val="00BA57B9"/>
    <w:rsid w:val="00BB0BD3"/>
    <w:rsid w:val="00BB18D0"/>
    <w:rsid w:val="00BB1A28"/>
    <w:rsid w:val="00BB3276"/>
    <w:rsid w:val="00BB4429"/>
    <w:rsid w:val="00BB52E0"/>
    <w:rsid w:val="00BB581F"/>
    <w:rsid w:val="00BB5A7C"/>
    <w:rsid w:val="00BB5F1E"/>
    <w:rsid w:val="00BB7660"/>
    <w:rsid w:val="00BB7CA9"/>
    <w:rsid w:val="00BC02D9"/>
    <w:rsid w:val="00BC0ECB"/>
    <w:rsid w:val="00BC1158"/>
    <w:rsid w:val="00BC16B5"/>
    <w:rsid w:val="00BC2B48"/>
    <w:rsid w:val="00BC36E1"/>
    <w:rsid w:val="00BC3BE7"/>
    <w:rsid w:val="00BC446D"/>
    <w:rsid w:val="00BC458A"/>
    <w:rsid w:val="00BC6762"/>
    <w:rsid w:val="00BD0A80"/>
    <w:rsid w:val="00BD1494"/>
    <w:rsid w:val="00BD2E43"/>
    <w:rsid w:val="00BD3DCF"/>
    <w:rsid w:val="00BD4C5D"/>
    <w:rsid w:val="00BD5734"/>
    <w:rsid w:val="00BE4EEE"/>
    <w:rsid w:val="00BE5596"/>
    <w:rsid w:val="00BE5833"/>
    <w:rsid w:val="00BE7329"/>
    <w:rsid w:val="00BF0D1A"/>
    <w:rsid w:val="00BF1ACE"/>
    <w:rsid w:val="00BF2B85"/>
    <w:rsid w:val="00BF3475"/>
    <w:rsid w:val="00BF3A70"/>
    <w:rsid w:val="00BF66FC"/>
    <w:rsid w:val="00C0164A"/>
    <w:rsid w:val="00C01D43"/>
    <w:rsid w:val="00C02994"/>
    <w:rsid w:val="00C05CB2"/>
    <w:rsid w:val="00C05DC4"/>
    <w:rsid w:val="00C065A7"/>
    <w:rsid w:val="00C06B30"/>
    <w:rsid w:val="00C0782D"/>
    <w:rsid w:val="00C10FDE"/>
    <w:rsid w:val="00C112FB"/>
    <w:rsid w:val="00C118A4"/>
    <w:rsid w:val="00C127B5"/>
    <w:rsid w:val="00C130C8"/>
    <w:rsid w:val="00C14E28"/>
    <w:rsid w:val="00C1539D"/>
    <w:rsid w:val="00C1557C"/>
    <w:rsid w:val="00C161E8"/>
    <w:rsid w:val="00C170B0"/>
    <w:rsid w:val="00C17394"/>
    <w:rsid w:val="00C2049E"/>
    <w:rsid w:val="00C21286"/>
    <w:rsid w:val="00C21886"/>
    <w:rsid w:val="00C25714"/>
    <w:rsid w:val="00C2669D"/>
    <w:rsid w:val="00C268F5"/>
    <w:rsid w:val="00C274FF"/>
    <w:rsid w:val="00C27553"/>
    <w:rsid w:val="00C27584"/>
    <w:rsid w:val="00C275DC"/>
    <w:rsid w:val="00C3057A"/>
    <w:rsid w:val="00C30B86"/>
    <w:rsid w:val="00C30FF6"/>
    <w:rsid w:val="00C310E1"/>
    <w:rsid w:val="00C32701"/>
    <w:rsid w:val="00C32946"/>
    <w:rsid w:val="00C33EFB"/>
    <w:rsid w:val="00C34355"/>
    <w:rsid w:val="00C351DC"/>
    <w:rsid w:val="00C373ED"/>
    <w:rsid w:val="00C40BAF"/>
    <w:rsid w:val="00C41E69"/>
    <w:rsid w:val="00C424F1"/>
    <w:rsid w:val="00C442E0"/>
    <w:rsid w:val="00C44CA4"/>
    <w:rsid w:val="00C46A38"/>
    <w:rsid w:val="00C47D38"/>
    <w:rsid w:val="00C513FC"/>
    <w:rsid w:val="00C52931"/>
    <w:rsid w:val="00C52FD8"/>
    <w:rsid w:val="00C53CAD"/>
    <w:rsid w:val="00C540AE"/>
    <w:rsid w:val="00C54BFC"/>
    <w:rsid w:val="00C55967"/>
    <w:rsid w:val="00C61107"/>
    <w:rsid w:val="00C6350A"/>
    <w:rsid w:val="00C636F1"/>
    <w:rsid w:val="00C64400"/>
    <w:rsid w:val="00C64E74"/>
    <w:rsid w:val="00C64EE9"/>
    <w:rsid w:val="00C70DA3"/>
    <w:rsid w:val="00C73422"/>
    <w:rsid w:val="00C7403F"/>
    <w:rsid w:val="00C743F3"/>
    <w:rsid w:val="00C75A6A"/>
    <w:rsid w:val="00C7699B"/>
    <w:rsid w:val="00C80B86"/>
    <w:rsid w:val="00C8181E"/>
    <w:rsid w:val="00C82858"/>
    <w:rsid w:val="00C838C6"/>
    <w:rsid w:val="00C86592"/>
    <w:rsid w:val="00C86FA0"/>
    <w:rsid w:val="00C9007F"/>
    <w:rsid w:val="00C91022"/>
    <w:rsid w:val="00C91760"/>
    <w:rsid w:val="00C91BF6"/>
    <w:rsid w:val="00C91F90"/>
    <w:rsid w:val="00C92D91"/>
    <w:rsid w:val="00C9326C"/>
    <w:rsid w:val="00CA0629"/>
    <w:rsid w:val="00CA0FEC"/>
    <w:rsid w:val="00CA12FE"/>
    <w:rsid w:val="00CA1D06"/>
    <w:rsid w:val="00CA39E2"/>
    <w:rsid w:val="00CA405D"/>
    <w:rsid w:val="00CA424C"/>
    <w:rsid w:val="00CA465F"/>
    <w:rsid w:val="00CA5006"/>
    <w:rsid w:val="00CA5AC4"/>
    <w:rsid w:val="00CA622D"/>
    <w:rsid w:val="00CA7913"/>
    <w:rsid w:val="00CA79A9"/>
    <w:rsid w:val="00CA7C6A"/>
    <w:rsid w:val="00CB0DCA"/>
    <w:rsid w:val="00CB15A9"/>
    <w:rsid w:val="00CB1F7C"/>
    <w:rsid w:val="00CB2532"/>
    <w:rsid w:val="00CB355A"/>
    <w:rsid w:val="00CB367E"/>
    <w:rsid w:val="00CB4763"/>
    <w:rsid w:val="00CB55A7"/>
    <w:rsid w:val="00CB6EB1"/>
    <w:rsid w:val="00CB776D"/>
    <w:rsid w:val="00CB7E69"/>
    <w:rsid w:val="00CC047E"/>
    <w:rsid w:val="00CC142B"/>
    <w:rsid w:val="00CC1B8E"/>
    <w:rsid w:val="00CC30C0"/>
    <w:rsid w:val="00CC3F4F"/>
    <w:rsid w:val="00CC47AB"/>
    <w:rsid w:val="00CC4C8F"/>
    <w:rsid w:val="00CC524D"/>
    <w:rsid w:val="00CC5606"/>
    <w:rsid w:val="00CC5A46"/>
    <w:rsid w:val="00CC6AF7"/>
    <w:rsid w:val="00CD0584"/>
    <w:rsid w:val="00CD1752"/>
    <w:rsid w:val="00CD1A7F"/>
    <w:rsid w:val="00CD3402"/>
    <w:rsid w:val="00CD38D0"/>
    <w:rsid w:val="00CD3C93"/>
    <w:rsid w:val="00CD4E30"/>
    <w:rsid w:val="00CD5CCA"/>
    <w:rsid w:val="00CD66AF"/>
    <w:rsid w:val="00CD67A6"/>
    <w:rsid w:val="00CD67EC"/>
    <w:rsid w:val="00CD6AA5"/>
    <w:rsid w:val="00CE11ED"/>
    <w:rsid w:val="00CE1510"/>
    <w:rsid w:val="00CE1D24"/>
    <w:rsid w:val="00CE3333"/>
    <w:rsid w:val="00CE3CEC"/>
    <w:rsid w:val="00CE440B"/>
    <w:rsid w:val="00CE4DE7"/>
    <w:rsid w:val="00CE5155"/>
    <w:rsid w:val="00CE5DEF"/>
    <w:rsid w:val="00CE6C89"/>
    <w:rsid w:val="00CE7F7C"/>
    <w:rsid w:val="00CF0DE6"/>
    <w:rsid w:val="00CF0DF8"/>
    <w:rsid w:val="00CF1927"/>
    <w:rsid w:val="00CF69A2"/>
    <w:rsid w:val="00CF6FF3"/>
    <w:rsid w:val="00CF7FEA"/>
    <w:rsid w:val="00D00359"/>
    <w:rsid w:val="00D00565"/>
    <w:rsid w:val="00D04BB1"/>
    <w:rsid w:val="00D054E1"/>
    <w:rsid w:val="00D05BF8"/>
    <w:rsid w:val="00D06AC4"/>
    <w:rsid w:val="00D06C9E"/>
    <w:rsid w:val="00D1012D"/>
    <w:rsid w:val="00D10551"/>
    <w:rsid w:val="00D11A49"/>
    <w:rsid w:val="00D122A4"/>
    <w:rsid w:val="00D12B8F"/>
    <w:rsid w:val="00D12FBC"/>
    <w:rsid w:val="00D147D3"/>
    <w:rsid w:val="00D1602A"/>
    <w:rsid w:val="00D16B37"/>
    <w:rsid w:val="00D16BFB"/>
    <w:rsid w:val="00D17CC0"/>
    <w:rsid w:val="00D217AB"/>
    <w:rsid w:val="00D218A4"/>
    <w:rsid w:val="00D21923"/>
    <w:rsid w:val="00D24D7A"/>
    <w:rsid w:val="00D2510B"/>
    <w:rsid w:val="00D25F4F"/>
    <w:rsid w:val="00D269EA"/>
    <w:rsid w:val="00D27A6F"/>
    <w:rsid w:val="00D308D5"/>
    <w:rsid w:val="00D3240B"/>
    <w:rsid w:val="00D332A8"/>
    <w:rsid w:val="00D33F01"/>
    <w:rsid w:val="00D33F5E"/>
    <w:rsid w:val="00D34087"/>
    <w:rsid w:val="00D34879"/>
    <w:rsid w:val="00D351E4"/>
    <w:rsid w:val="00D3537B"/>
    <w:rsid w:val="00D35411"/>
    <w:rsid w:val="00D35B3F"/>
    <w:rsid w:val="00D3629F"/>
    <w:rsid w:val="00D362C5"/>
    <w:rsid w:val="00D36DF5"/>
    <w:rsid w:val="00D4076A"/>
    <w:rsid w:val="00D41F43"/>
    <w:rsid w:val="00D4253F"/>
    <w:rsid w:val="00D44669"/>
    <w:rsid w:val="00D45138"/>
    <w:rsid w:val="00D45710"/>
    <w:rsid w:val="00D46572"/>
    <w:rsid w:val="00D474B2"/>
    <w:rsid w:val="00D47E4E"/>
    <w:rsid w:val="00D47F71"/>
    <w:rsid w:val="00D50833"/>
    <w:rsid w:val="00D50ECB"/>
    <w:rsid w:val="00D5222F"/>
    <w:rsid w:val="00D53B37"/>
    <w:rsid w:val="00D541CE"/>
    <w:rsid w:val="00D54C5A"/>
    <w:rsid w:val="00D54CF6"/>
    <w:rsid w:val="00D550F3"/>
    <w:rsid w:val="00D55D05"/>
    <w:rsid w:val="00D56C1F"/>
    <w:rsid w:val="00D574A1"/>
    <w:rsid w:val="00D61674"/>
    <w:rsid w:val="00D61982"/>
    <w:rsid w:val="00D61F4D"/>
    <w:rsid w:val="00D63119"/>
    <w:rsid w:val="00D63A4A"/>
    <w:rsid w:val="00D65031"/>
    <w:rsid w:val="00D6522C"/>
    <w:rsid w:val="00D66D0C"/>
    <w:rsid w:val="00D671F0"/>
    <w:rsid w:val="00D709D0"/>
    <w:rsid w:val="00D71346"/>
    <w:rsid w:val="00D73443"/>
    <w:rsid w:val="00D73BC8"/>
    <w:rsid w:val="00D73CD4"/>
    <w:rsid w:val="00D741AD"/>
    <w:rsid w:val="00D7442F"/>
    <w:rsid w:val="00D763D8"/>
    <w:rsid w:val="00D7647C"/>
    <w:rsid w:val="00D769DA"/>
    <w:rsid w:val="00D7795F"/>
    <w:rsid w:val="00D77A9D"/>
    <w:rsid w:val="00D77E46"/>
    <w:rsid w:val="00D8149C"/>
    <w:rsid w:val="00D81F00"/>
    <w:rsid w:val="00D81F17"/>
    <w:rsid w:val="00D83E75"/>
    <w:rsid w:val="00D86381"/>
    <w:rsid w:val="00D877F4"/>
    <w:rsid w:val="00D87F97"/>
    <w:rsid w:val="00D909DF"/>
    <w:rsid w:val="00D92031"/>
    <w:rsid w:val="00D9312E"/>
    <w:rsid w:val="00D93F52"/>
    <w:rsid w:val="00D940D3"/>
    <w:rsid w:val="00D947F8"/>
    <w:rsid w:val="00D94FA6"/>
    <w:rsid w:val="00D956A8"/>
    <w:rsid w:val="00D96236"/>
    <w:rsid w:val="00D962A5"/>
    <w:rsid w:val="00D97ADF"/>
    <w:rsid w:val="00D97C7C"/>
    <w:rsid w:val="00DA0950"/>
    <w:rsid w:val="00DA283D"/>
    <w:rsid w:val="00DA45A6"/>
    <w:rsid w:val="00DA6275"/>
    <w:rsid w:val="00DA6298"/>
    <w:rsid w:val="00DA7876"/>
    <w:rsid w:val="00DA7CC7"/>
    <w:rsid w:val="00DB1D53"/>
    <w:rsid w:val="00DB1E67"/>
    <w:rsid w:val="00DB2CF3"/>
    <w:rsid w:val="00DB304F"/>
    <w:rsid w:val="00DB3183"/>
    <w:rsid w:val="00DB5082"/>
    <w:rsid w:val="00DB5FD0"/>
    <w:rsid w:val="00DB62A4"/>
    <w:rsid w:val="00DB67D9"/>
    <w:rsid w:val="00DB6A62"/>
    <w:rsid w:val="00DB715A"/>
    <w:rsid w:val="00DB722B"/>
    <w:rsid w:val="00DB76D9"/>
    <w:rsid w:val="00DC08EB"/>
    <w:rsid w:val="00DC1C3C"/>
    <w:rsid w:val="00DC3D97"/>
    <w:rsid w:val="00DC46AB"/>
    <w:rsid w:val="00DC4713"/>
    <w:rsid w:val="00DD0160"/>
    <w:rsid w:val="00DD0E3F"/>
    <w:rsid w:val="00DD1996"/>
    <w:rsid w:val="00DD26F3"/>
    <w:rsid w:val="00DD28C1"/>
    <w:rsid w:val="00DD328F"/>
    <w:rsid w:val="00DD508A"/>
    <w:rsid w:val="00DD57BF"/>
    <w:rsid w:val="00DD59EE"/>
    <w:rsid w:val="00DD61CC"/>
    <w:rsid w:val="00DD6554"/>
    <w:rsid w:val="00DD6EAD"/>
    <w:rsid w:val="00DE1044"/>
    <w:rsid w:val="00DE1D15"/>
    <w:rsid w:val="00DE490C"/>
    <w:rsid w:val="00DE4994"/>
    <w:rsid w:val="00DE4B0A"/>
    <w:rsid w:val="00DE4CCC"/>
    <w:rsid w:val="00DE536C"/>
    <w:rsid w:val="00DF0365"/>
    <w:rsid w:val="00DF1038"/>
    <w:rsid w:val="00DF2437"/>
    <w:rsid w:val="00DF27A4"/>
    <w:rsid w:val="00DF3263"/>
    <w:rsid w:val="00DF4057"/>
    <w:rsid w:val="00DF4FDF"/>
    <w:rsid w:val="00DF6FFB"/>
    <w:rsid w:val="00E001DA"/>
    <w:rsid w:val="00E01CE5"/>
    <w:rsid w:val="00E01E4D"/>
    <w:rsid w:val="00E023D1"/>
    <w:rsid w:val="00E03BB9"/>
    <w:rsid w:val="00E04D44"/>
    <w:rsid w:val="00E05527"/>
    <w:rsid w:val="00E05842"/>
    <w:rsid w:val="00E0659C"/>
    <w:rsid w:val="00E069FC"/>
    <w:rsid w:val="00E070D6"/>
    <w:rsid w:val="00E07E40"/>
    <w:rsid w:val="00E10CDD"/>
    <w:rsid w:val="00E10E1A"/>
    <w:rsid w:val="00E11DB9"/>
    <w:rsid w:val="00E1320C"/>
    <w:rsid w:val="00E14C81"/>
    <w:rsid w:val="00E15DF1"/>
    <w:rsid w:val="00E207C9"/>
    <w:rsid w:val="00E210D5"/>
    <w:rsid w:val="00E21C06"/>
    <w:rsid w:val="00E21F0C"/>
    <w:rsid w:val="00E2238B"/>
    <w:rsid w:val="00E22D94"/>
    <w:rsid w:val="00E232C5"/>
    <w:rsid w:val="00E2413C"/>
    <w:rsid w:val="00E256FC"/>
    <w:rsid w:val="00E26891"/>
    <w:rsid w:val="00E2734A"/>
    <w:rsid w:val="00E279EC"/>
    <w:rsid w:val="00E27D89"/>
    <w:rsid w:val="00E307B4"/>
    <w:rsid w:val="00E32451"/>
    <w:rsid w:val="00E32FAF"/>
    <w:rsid w:val="00E3686E"/>
    <w:rsid w:val="00E37558"/>
    <w:rsid w:val="00E40278"/>
    <w:rsid w:val="00E417C6"/>
    <w:rsid w:val="00E42417"/>
    <w:rsid w:val="00E42C27"/>
    <w:rsid w:val="00E439E5"/>
    <w:rsid w:val="00E44289"/>
    <w:rsid w:val="00E4667E"/>
    <w:rsid w:val="00E475E6"/>
    <w:rsid w:val="00E536ED"/>
    <w:rsid w:val="00E54996"/>
    <w:rsid w:val="00E55E04"/>
    <w:rsid w:val="00E5799A"/>
    <w:rsid w:val="00E60BBA"/>
    <w:rsid w:val="00E60E53"/>
    <w:rsid w:val="00E610A3"/>
    <w:rsid w:val="00E6337E"/>
    <w:rsid w:val="00E633C4"/>
    <w:rsid w:val="00E64340"/>
    <w:rsid w:val="00E64E0A"/>
    <w:rsid w:val="00E652DC"/>
    <w:rsid w:val="00E65558"/>
    <w:rsid w:val="00E662BE"/>
    <w:rsid w:val="00E6630F"/>
    <w:rsid w:val="00E67DDB"/>
    <w:rsid w:val="00E72311"/>
    <w:rsid w:val="00E73A98"/>
    <w:rsid w:val="00E75944"/>
    <w:rsid w:val="00E80323"/>
    <w:rsid w:val="00E80442"/>
    <w:rsid w:val="00E81167"/>
    <w:rsid w:val="00E827ED"/>
    <w:rsid w:val="00E82C1F"/>
    <w:rsid w:val="00E82D0B"/>
    <w:rsid w:val="00E82DDB"/>
    <w:rsid w:val="00E837E2"/>
    <w:rsid w:val="00E87C3C"/>
    <w:rsid w:val="00E9032F"/>
    <w:rsid w:val="00E91097"/>
    <w:rsid w:val="00E91126"/>
    <w:rsid w:val="00E9227F"/>
    <w:rsid w:val="00E92ABC"/>
    <w:rsid w:val="00E93A95"/>
    <w:rsid w:val="00E9404F"/>
    <w:rsid w:val="00E965C1"/>
    <w:rsid w:val="00E96DFA"/>
    <w:rsid w:val="00E9720C"/>
    <w:rsid w:val="00E97559"/>
    <w:rsid w:val="00E97E36"/>
    <w:rsid w:val="00EA02ED"/>
    <w:rsid w:val="00EA1564"/>
    <w:rsid w:val="00EA2AEC"/>
    <w:rsid w:val="00EA2F1E"/>
    <w:rsid w:val="00EA3C95"/>
    <w:rsid w:val="00EA4AF6"/>
    <w:rsid w:val="00EA5972"/>
    <w:rsid w:val="00EA5E0F"/>
    <w:rsid w:val="00EA5F94"/>
    <w:rsid w:val="00EB0ABF"/>
    <w:rsid w:val="00EB1E9F"/>
    <w:rsid w:val="00EB1FAA"/>
    <w:rsid w:val="00EB20B6"/>
    <w:rsid w:val="00EB2188"/>
    <w:rsid w:val="00EB2889"/>
    <w:rsid w:val="00EB2AEE"/>
    <w:rsid w:val="00EB2DD2"/>
    <w:rsid w:val="00EB435C"/>
    <w:rsid w:val="00EB4BF6"/>
    <w:rsid w:val="00EB508D"/>
    <w:rsid w:val="00EB563C"/>
    <w:rsid w:val="00EB6114"/>
    <w:rsid w:val="00EB7AD3"/>
    <w:rsid w:val="00EC1ABA"/>
    <w:rsid w:val="00EC1DF5"/>
    <w:rsid w:val="00EC2206"/>
    <w:rsid w:val="00EC2CCE"/>
    <w:rsid w:val="00EC6155"/>
    <w:rsid w:val="00ED1ACF"/>
    <w:rsid w:val="00ED2742"/>
    <w:rsid w:val="00ED2D63"/>
    <w:rsid w:val="00ED5559"/>
    <w:rsid w:val="00ED591F"/>
    <w:rsid w:val="00ED6E26"/>
    <w:rsid w:val="00ED7175"/>
    <w:rsid w:val="00ED7340"/>
    <w:rsid w:val="00ED7945"/>
    <w:rsid w:val="00ED7CF5"/>
    <w:rsid w:val="00EE03C5"/>
    <w:rsid w:val="00EE0B66"/>
    <w:rsid w:val="00EE12E4"/>
    <w:rsid w:val="00EE1E56"/>
    <w:rsid w:val="00EE230F"/>
    <w:rsid w:val="00EE289B"/>
    <w:rsid w:val="00EE2F17"/>
    <w:rsid w:val="00EE4635"/>
    <w:rsid w:val="00EE50B1"/>
    <w:rsid w:val="00EE5581"/>
    <w:rsid w:val="00EE7E2C"/>
    <w:rsid w:val="00EF05D2"/>
    <w:rsid w:val="00EF061D"/>
    <w:rsid w:val="00EF08C6"/>
    <w:rsid w:val="00EF31F4"/>
    <w:rsid w:val="00EF3F66"/>
    <w:rsid w:val="00EF4BF0"/>
    <w:rsid w:val="00EF4C85"/>
    <w:rsid w:val="00EF6F14"/>
    <w:rsid w:val="00EF72F8"/>
    <w:rsid w:val="00F01185"/>
    <w:rsid w:val="00F03032"/>
    <w:rsid w:val="00F03B39"/>
    <w:rsid w:val="00F0451F"/>
    <w:rsid w:val="00F059C2"/>
    <w:rsid w:val="00F07260"/>
    <w:rsid w:val="00F07E4B"/>
    <w:rsid w:val="00F10AC7"/>
    <w:rsid w:val="00F11066"/>
    <w:rsid w:val="00F116A0"/>
    <w:rsid w:val="00F12617"/>
    <w:rsid w:val="00F1313C"/>
    <w:rsid w:val="00F13CC0"/>
    <w:rsid w:val="00F15B7E"/>
    <w:rsid w:val="00F1616F"/>
    <w:rsid w:val="00F202EC"/>
    <w:rsid w:val="00F22538"/>
    <w:rsid w:val="00F23590"/>
    <w:rsid w:val="00F241EC"/>
    <w:rsid w:val="00F24E55"/>
    <w:rsid w:val="00F27A1F"/>
    <w:rsid w:val="00F27D04"/>
    <w:rsid w:val="00F3017B"/>
    <w:rsid w:val="00F306F5"/>
    <w:rsid w:val="00F32F95"/>
    <w:rsid w:val="00F34B8B"/>
    <w:rsid w:val="00F34BF1"/>
    <w:rsid w:val="00F356FF"/>
    <w:rsid w:val="00F36366"/>
    <w:rsid w:val="00F40919"/>
    <w:rsid w:val="00F4188B"/>
    <w:rsid w:val="00F41D1E"/>
    <w:rsid w:val="00F42491"/>
    <w:rsid w:val="00F427F7"/>
    <w:rsid w:val="00F43B97"/>
    <w:rsid w:val="00F43C85"/>
    <w:rsid w:val="00F44A1E"/>
    <w:rsid w:val="00F453B8"/>
    <w:rsid w:val="00F4568D"/>
    <w:rsid w:val="00F460C3"/>
    <w:rsid w:val="00F47519"/>
    <w:rsid w:val="00F47C02"/>
    <w:rsid w:val="00F50D9F"/>
    <w:rsid w:val="00F54617"/>
    <w:rsid w:val="00F54A46"/>
    <w:rsid w:val="00F54B79"/>
    <w:rsid w:val="00F55EF3"/>
    <w:rsid w:val="00F567A8"/>
    <w:rsid w:val="00F56B85"/>
    <w:rsid w:val="00F56C43"/>
    <w:rsid w:val="00F613CC"/>
    <w:rsid w:val="00F6253B"/>
    <w:rsid w:val="00F62DEB"/>
    <w:rsid w:val="00F63500"/>
    <w:rsid w:val="00F637F0"/>
    <w:rsid w:val="00F63B15"/>
    <w:rsid w:val="00F6415E"/>
    <w:rsid w:val="00F642C4"/>
    <w:rsid w:val="00F66A92"/>
    <w:rsid w:val="00F71A11"/>
    <w:rsid w:val="00F71B36"/>
    <w:rsid w:val="00F71E18"/>
    <w:rsid w:val="00F722F1"/>
    <w:rsid w:val="00F7251C"/>
    <w:rsid w:val="00F726FA"/>
    <w:rsid w:val="00F7491E"/>
    <w:rsid w:val="00F76202"/>
    <w:rsid w:val="00F765D7"/>
    <w:rsid w:val="00F776E4"/>
    <w:rsid w:val="00F77DCE"/>
    <w:rsid w:val="00F80461"/>
    <w:rsid w:val="00F8067B"/>
    <w:rsid w:val="00F828FF"/>
    <w:rsid w:val="00F82F2F"/>
    <w:rsid w:val="00F838B4"/>
    <w:rsid w:val="00F84164"/>
    <w:rsid w:val="00F8446B"/>
    <w:rsid w:val="00F8526F"/>
    <w:rsid w:val="00F85805"/>
    <w:rsid w:val="00F85A97"/>
    <w:rsid w:val="00F90756"/>
    <w:rsid w:val="00F91778"/>
    <w:rsid w:val="00F91862"/>
    <w:rsid w:val="00F9387E"/>
    <w:rsid w:val="00F957BE"/>
    <w:rsid w:val="00F974B3"/>
    <w:rsid w:val="00FA03DB"/>
    <w:rsid w:val="00FA0D68"/>
    <w:rsid w:val="00FA1492"/>
    <w:rsid w:val="00FA1E69"/>
    <w:rsid w:val="00FA2776"/>
    <w:rsid w:val="00FA282F"/>
    <w:rsid w:val="00FA2C91"/>
    <w:rsid w:val="00FA41A6"/>
    <w:rsid w:val="00FA4E5E"/>
    <w:rsid w:val="00FA5A04"/>
    <w:rsid w:val="00FA7FA8"/>
    <w:rsid w:val="00FAD7F8"/>
    <w:rsid w:val="00FB0A48"/>
    <w:rsid w:val="00FB0E0F"/>
    <w:rsid w:val="00FB1223"/>
    <w:rsid w:val="00FB1A7A"/>
    <w:rsid w:val="00FB2C7C"/>
    <w:rsid w:val="00FB31B0"/>
    <w:rsid w:val="00FB4741"/>
    <w:rsid w:val="00FB5175"/>
    <w:rsid w:val="00FB74E0"/>
    <w:rsid w:val="00FB790E"/>
    <w:rsid w:val="00FB7E6E"/>
    <w:rsid w:val="00FC1AF7"/>
    <w:rsid w:val="00FC37EB"/>
    <w:rsid w:val="00FC38E2"/>
    <w:rsid w:val="00FC3AF2"/>
    <w:rsid w:val="00FC3EFB"/>
    <w:rsid w:val="00FC51E5"/>
    <w:rsid w:val="00FC5627"/>
    <w:rsid w:val="00FC68F6"/>
    <w:rsid w:val="00FC75F6"/>
    <w:rsid w:val="00FD0581"/>
    <w:rsid w:val="00FD0A6D"/>
    <w:rsid w:val="00FD1112"/>
    <w:rsid w:val="00FD19E0"/>
    <w:rsid w:val="00FD2A72"/>
    <w:rsid w:val="00FD4566"/>
    <w:rsid w:val="00FD4D2B"/>
    <w:rsid w:val="00FD6413"/>
    <w:rsid w:val="00FD7408"/>
    <w:rsid w:val="00FE1C16"/>
    <w:rsid w:val="00FE31EB"/>
    <w:rsid w:val="00FE446E"/>
    <w:rsid w:val="00FE579B"/>
    <w:rsid w:val="00FE5B1F"/>
    <w:rsid w:val="00FE739C"/>
    <w:rsid w:val="00FF01F0"/>
    <w:rsid w:val="00FF03DD"/>
    <w:rsid w:val="00FF3CF7"/>
    <w:rsid w:val="00FF44EE"/>
    <w:rsid w:val="00FF4542"/>
    <w:rsid w:val="00FF4917"/>
    <w:rsid w:val="00FF4B1F"/>
    <w:rsid w:val="00FF5197"/>
    <w:rsid w:val="00FF54ED"/>
    <w:rsid w:val="00FF62D1"/>
    <w:rsid w:val="00FF6AF8"/>
    <w:rsid w:val="0105C56A"/>
    <w:rsid w:val="010B3BE0"/>
    <w:rsid w:val="01217D15"/>
    <w:rsid w:val="012ACE22"/>
    <w:rsid w:val="013FFAC8"/>
    <w:rsid w:val="0140DAA5"/>
    <w:rsid w:val="0141081C"/>
    <w:rsid w:val="014472B5"/>
    <w:rsid w:val="014B4D94"/>
    <w:rsid w:val="01520464"/>
    <w:rsid w:val="015D71EC"/>
    <w:rsid w:val="0161D596"/>
    <w:rsid w:val="0167BEDB"/>
    <w:rsid w:val="0172A0BE"/>
    <w:rsid w:val="017B9847"/>
    <w:rsid w:val="01857583"/>
    <w:rsid w:val="01867B97"/>
    <w:rsid w:val="018BF059"/>
    <w:rsid w:val="0192F991"/>
    <w:rsid w:val="01958F72"/>
    <w:rsid w:val="01C64A69"/>
    <w:rsid w:val="01C72E1D"/>
    <w:rsid w:val="01DC7351"/>
    <w:rsid w:val="01E50D43"/>
    <w:rsid w:val="01E5D3C2"/>
    <w:rsid w:val="01EB843A"/>
    <w:rsid w:val="0203F160"/>
    <w:rsid w:val="020A8AE5"/>
    <w:rsid w:val="020C14B7"/>
    <w:rsid w:val="021796F4"/>
    <w:rsid w:val="021B2FFF"/>
    <w:rsid w:val="02312B2F"/>
    <w:rsid w:val="0233DB05"/>
    <w:rsid w:val="0244055A"/>
    <w:rsid w:val="0252DFA6"/>
    <w:rsid w:val="02552B24"/>
    <w:rsid w:val="025B2EF4"/>
    <w:rsid w:val="025DBED6"/>
    <w:rsid w:val="0263A158"/>
    <w:rsid w:val="026E15E1"/>
    <w:rsid w:val="026FD6FD"/>
    <w:rsid w:val="027EA956"/>
    <w:rsid w:val="028A39C6"/>
    <w:rsid w:val="028D7C26"/>
    <w:rsid w:val="0290CB40"/>
    <w:rsid w:val="02944CC0"/>
    <w:rsid w:val="0297068A"/>
    <w:rsid w:val="029D8FC5"/>
    <w:rsid w:val="02A2E652"/>
    <w:rsid w:val="02B7E85B"/>
    <w:rsid w:val="02C262A2"/>
    <w:rsid w:val="02D392C9"/>
    <w:rsid w:val="02E50B27"/>
    <w:rsid w:val="02EA3564"/>
    <w:rsid w:val="02F6918B"/>
    <w:rsid w:val="02F74A51"/>
    <w:rsid w:val="02FB073E"/>
    <w:rsid w:val="0301144F"/>
    <w:rsid w:val="031021A6"/>
    <w:rsid w:val="031BD0AA"/>
    <w:rsid w:val="032190F4"/>
    <w:rsid w:val="0327EA09"/>
    <w:rsid w:val="032D56B5"/>
    <w:rsid w:val="0335B8B9"/>
    <w:rsid w:val="0335ED43"/>
    <w:rsid w:val="033FC8BF"/>
    <w:rsid w:val="03472758"/>
    <w:rsid w:val="035FCFD7"/>
    <w:rsid w:val="0363486B"/>
    <w:rsid w:val="0368D6FF"/>
    <w:rsid w:val="03780205"/>
    <w:rsid w:val="0389C4B4"/>
    <w:rsid w:val="038A2ED6"/>
    <w:rsid w:val="03922B8A"/>
    <w:rsid w:val="039D000B"/>
    <w:rsid w:val="039D6084"/>
    <w:rsid w:val="03DBE045"/>
    <w:rsid w:val="03E95A97"/>
    <w:rsid w:val="03F5DE09"/>
    <w:rsid w:val="04009971"/>
    <w:rsid w:val="04061B70"/>
    <w:rsid w:val="044575FD"/>
    <w:rsid w:val="044D1821"/>
    <w:rsid w:val="04590BE1"/>
    <w:rsid w:val="045E74D7"/>
    <w:rsid w:val="046234A8"/>
    <w:rsid w:val="04697D1D"/>
    <w:rsid w:val="046B9CE0"/>
    <w:rsid w:val="04702425"/>
    <w:rsid w:val="04768FAC"/>
    <w:rsid w:val="0484CF72"/>
    <w:rsid w:val="048A3FED"/>
    <w:rsid w:val="04989A35"/>
    <w:rsid w:val="049A1261"/>
    <w:rsid w:val="04AA4180"/>
    <w:rsid w:val="04D05D36"/>
    <w:rsid w:val="04D74E53"/>
    <w:rsid w:val="04DBDF1E"/>
    <w:rsid w:val="04E6361F"/>
    <w:rsid w:val="04EC150C"/>
    <w:rsid w:val="04F48A1C"/>
    <w:rsid w:val="05001136"/>
    <w:rsid w:val="0510424D"/>
    <w:rsid w:val="0514B961"/>
    <w:rsid w:val="051543CA"/>
    <w:rsid w:val="053D9A75"/>
    <w:rsid w:val="0544A7DE"/>
    <w:rsid w:val="0549C93A"/>
    <w:rsid w:val="05523FE9"/>
    <w:rsid w:val="05885FBC"/>
    <w:rsid w:val="059121C1"/>
    <w:rsid w:val="059AF188"/>
    <w:rsid w:val="05A4A919"/>
    <w:rsid w:val="05B23494"/>
    <w:rsid w:val="05B5C88B"/>
    <w:rsid w:val="05C18CCE"/>
    <w:rsid w:val="05C6D640"/>
    <w:rsid w:val="05CADCB8"/>
    <w:rsid w:val="05D2199F"/>
    <w:rsid w:val="05D9A3E8"/>
    <w:rsid w:val="05DCA367"/>
    <w:rsid w:val="05DFCF21"/>
    <w:rsid w:val="05E1602B"/>
    <w:rsid w:val="05E44D72"/>
    <w:rsid w:val="05ED487B"/>
    <w:rsid w:val="05ED563E"/>
    <w:rsid w:val="05F42546"/>
    <w:rsid w:val="05FEEDD8"/>
    <w:rsid w:val="06004911"/>
    <w:rsid w:val="06072BF6"/>
    <w:rsid w:val="0613E798"/>
    <w:rsid w:val="0631A064"/>
    <w:rsid w:val="06419D40"/>
    <w:rsid w:val="0645D98B"/>
    <w:rsid w:val="064F1D4C"/>
    <w:rsid w:val="06582939"/>
    <w:rsid w:val="06595798"/>
    <w:rsid w:val="06670552"/>
    <w:rsid w:val="06675A94"/>
    <w:rsid w:val="06737499"/>
    <w:rsid w:val="067EF151"/>
    <w:rsid w:val="06800705"/>
    <w:rsid w:val="06825FBF"/>
    <w:rsid w:val="068A2618"/>
    <w:rsid w:val="068D47BB"/>
    <w:rsid w:val="06B0B820"/>
    <w:rsid w:val="06BDF1C3"/>
    <w:rsid w:val="06CD0E6E"/>
    <w:rsid w:val="06EAE16C"/>
    <w:rsid w:val="06EBBB26"/>
    <w:rsid w:val="06EC4FB1"/>
    <w:rsid w:val="06EDFEBF"/>
    <w:rsid w:val="0708E6CC"/>
    <w:rsid w:val="070B902C"/>
    <w:rsid w:val="07112EE3"/>
    <w:rsid w:val="07177DFC"/>
    <w:rsid w:val="071C7C89"/>
    <w:rsid w:val="073892EE"/>
    <w:rsid w:val="07499533"/>
    <w:rsid w:val="074CAB94"/>
    <w:rsid w:val="07513051"/>
    <w:rsid w:val="075D6FFF"/>
    <w:rsid w:val="075FADC0"/>
    <w:rsid w:val="0762206C"/>
    <w:rsid w:val="07709632"/>
    <w:rsid w:val="077E57F9"/>
    <w:rsid w:val="07943A8C"/>
    <w:rsid w:val="07A874AE"/>
    <w:rsid w:val="07B9D31C"/>
    <w:rsid w:val="07BCE906"/>
    <w:rsid w:val="07CE5B3D"/>
    <w:rsid w:val="07EDC88F"/>
    <w:rsid w:val="07EE0035"/>
    <w:rsid w:val="07F17196"/>
    <w:rsid w:val="07F4D874"/>
    <w:rsid w:val="07F664D3"/>
    <w:rsid w:val="07FCAE4E"/>
    <w:rsid w:val="081238CE"/>
    <w:rsid w:val="0822AA51"/>
    <w:rsid w:val="0840719F"/>
    <w:rsid w:val="0853B752"/>
    <w:rsid w:val="0854818F"/>
    <w:rsid w:val="08552AA8"/>
    <w:rsid w:val="08612845"/>
    <w:rsid w:val="0865B1A7"/>
    <w:rsid w:val="086609B6"/>
    <w:rsid w:val="0881D11F"/>
    <w:rsid w:val="08859066"/>
    <w:rsid w:val="08878B87"/>
    <w:rsid w:val="0895E6C7"/>
    <w:rsid w:val="0897B414"/>
    <w:rsid w:val="089E8E6D"/>
    <w:rsid w:val="08A9ECA7"/>
    <w:rsid w:val="08ABCF38"/>
    <w:rsid w:val="08ACD2FA"/>
    <w:rsid w:val="08B6149A"/>
    <w:rsid w:val="08C5E75E"/>
    <w:rsid w:val="08CFE430"/>
    <w:rsid w:val="08E4B783"/>
    <w:rsid w:val="08E93760"/>
    <w:rsid w:val="08FBCD07"/>
    <w:rsid w:val="09258272"/>
    <w:rsid w:val="092FD1CD"/>
    <w:rsid w:val="0935CE5C"/>
    <w:rsid w:val="093AF165"/>
    <w:rsid w:val="0948DE81"/>
    <w:rsid w:val="09506E22"/>
    <w:rsid w:val="0952DB53"/>
    <w:rsid w:val="095CEBFA"/>
    <w:rsid w:val="096419B4"/>
    <w:rsid w:val="09809E58"/>
    <w:rsid w:val="09831FED"/>
    <w:rsid w:val="09AE355F"/>
    <w:rsid w:val="09B04CDC"/>
    <w:rsid w:val="0A00710C"/>
    <w:rsid w:val="0A0DD07A"/>
    <w:rsid w:val="0A192716"/>
    <w:rsid w:val="0A272A9A"/>
    <w:rsid w:val="0A34C442"/>
    <w:rsid w:val="0A5482F6"/>
    <w:rsid w:val="0A55F6F2"/>
    <w:rsid w:val="0A59E7B9"/>
    <w:rsid w:val="0A6D0995"/>
    <w:rsid w:val="0A7501D2"/>
    <w:rsid w:val="0A7CFBDE"/>
    <w:rsid w:val="0A7D49D9"/>
    <w:rsid w:val="0A8EC84A"/>
    <w:rsid w:val="0A939A60"/>
    <w:rsid w:val="0A94D587"/>
    <w:rsid w:val="0A9CD9D5"/>
    <w:rsid w:val="0AA9F9AC"/>
    <w:rsid w:val="0AB06E29"/>
    <w:rsid w:val="0AB4FC0C"/>
    <w:rsid w:val="0AC61FA6"/>
    <w:rsid w:val="0AC8C7D9"/>
    <w:rsid w:val="0ACC5714"/>
    <w:rsid w:val="0AD770A3"/>
    <w:rsid w:val="0AE10D99"/>
    <w:rsid w:val="0B0DFA3D"/>
    <w:rsid w:val="0B163AD4"/>
    <w:rsid w:val="0B1D352F"/>
    <w:rsid w:val="0B261A71"/>
    <w:rsid w:val="0B3F964A"/>
    <w:rsid w:val="0B4030F0"/>
    <w:rsid w:val="0B412969"/>
    <w:rsid w:val="0B418B74"/>
    <w:rsid w:val="0B576120"/>
    <w:rsid w:val="0B57E880"/>
    <w:rsid w:val="0B597500"/>
    <w:rsid w:val="0B5DFD1C"/>
    <w:rsid w:val="0B66CF02"/>
    <w:rsid w:val="0B674CB7"/>
    <w:rsid w:val="0B8A8E32"/>
    <w:rsid w:val="0B8C43E0"/>
    <w:rsid w:val="0B92BA7F"/>
    <w:rsid w:val="0BBB4B88"/>
    <w:rsid w:val="0BCF8CE4"/>
    <w:rsid w:val="0BD0A496"/>
    <w:rsid w:val="0BD14A28"/>
    <w:rsid w:val="0BDCE2DF"/>
    <w:rsid w:val="0BDD9EF4"/>
    <w:rsid w:val="0BEC84D1"/>
    <w:rsid w:val="0C18A4B8"/>
    <w:rsid w:val="0C22A073"/>
    <w:rsid w:val="0C2779D3"/>
    <w:rsid w:val="0C4251F5"/>
    <w:rsid w:val="0C514F53"/>
    <w:rsid w:val="0C5B70F0"/>
    <w:rsid w:val="0C5C172A"/>
    <w:rsid w:val="0C649430"/>
    <w:rsid w:val="0C687934"/>
    <w:rsid w:val="0C6FC4E3"/>
    <w:rsid w:val="0C828A4A"/>
    <w:rsid w:val="0C989D9F"/>
    <w:rsid w:val="0CAB990C"/>
    <w:rsid w:val="0CAC5AD3"/>
    <w:rsid w:val="0CAF5696"/>
    <w:rsid w:val="0CCEBABB"/>
    <w:rsid w:val="0CE6A6A2"/>
    <w:rsid w:val="0CEE3981"/>
    <w:rsid w:val="0CF622DC"/>
    <w:rsid w:val="0CFDE47B"/>
    <w:rsid w:val="0CFFE7F3"/>
    <w:rsid w:val="0D03588C"/>
    <w:rsid w:val="0D1632E2"/>
    <w:rsid w:val="0D19763B"/>
    <w:rsid w:val="0D1FC755"/>
    <w:rsid w:val="0D21D551"/>
    <w:rsid w:val="0D36CEA8"/>
    <w:rsid w:val="0D3FF955"/>
    <w:rsid w:val="0D4655C5"/>
    <w:rsid w:val="0D51136E"/>
    <w:rsid w:val="0D58B3DD"/>
    <w:rsid w:val="0D5EBA28"/>
    <w:rsid w:val="0D6B39E6"/>
    <w:rsid w:val="0D7698C9"/>
    <w:rsid w:val="0D801A7E"/>
    <w:rsid w:val="0D827AD6"/>
    <w:rsid w:val="0D8E02EE"/>
    <w:rsid w:val="0D8FDEF1"/>
    <w:rsid w:val="0D9176FA"/>
    <w:rsid w:val="0D9EBD32"/>
    <w:rsid w:val="0DA4F099"/>
    <w:rsid w:val="0DA7CE5F"/>
    <w:rsid w:val="0DC97CA4"/>
    <w:rsid w:val="0DD24684"/>
    <w:rsid w:val="0DDCDACD"/>
    <w:rsid w:val="0DF169EA"/>
    <w:rsid w:val="0DF1B121"/>
    <w:rsid w:val="0DF8A5D3"/>
    <w:rsid w:val="0DFB24D1"/>
    <w:rsid w:val="0E0F2952"/>
    <w:rsid w:val="0E123DE8"/>
    <w:rsid w:val="0E2376CE"/>
    <w:rsid w:val="0E241360"/>
    <w:rsid w:val="0E2AED82"/>
    <w:rsid w:val="0E374C2B"/>
    <w:rsid w:val="0E440CC2"/>
    <w:rsid w:val="0E4F92CF"/>
    <w:rsid w:val="0E692179"/>
    <w:rsid w:val="0E6AA526"/>
    <w:rsid w:val="0E74F938"/>
    <w:rsid w:val="0E7CDB34"/>
    <w:rsid w:val="0E8D3AB2"/>
    <w:rsid w:val="0EA8159C"/>
    <w:rsid w:val="0EACB58A"/>
    <w:rsid w:val="0EC1BD40"/>
    <w:rsid w:val="0EC26EE0"/>
    <w:rsid w:val="0EE28199"/>
    <w:rsid w:val="0EF9356E"/>
    <w:rsid w:val="0EF93E2B"/>
    <w:rsid w:val="0F009F4B"/>
    <w:rsid w:val="0F045F47"/>
    <w:rsid w:val="0F05C88B"/>
    <w:rsid w:val="0F11DA85"/>
    <w:rsid w:val="0F14DAB3"/>
    <w:rsid w:val="0F23BAAD"/>
    <w:rsid w:val="0F2A1A73"/>
    <w:rsid w:val="0F2B3703"/>
    <w:rsid w:val="0F403C49"/>
    <w:rsid w:val="0F423C09"/>
    <w:rsid w:val="0F5DECBF"/>
    <w:rsid w:val="0F672E80"/>
    <w:rsid w:val="0F73BF3F"/>
    <w:rsid w:val="0F7844E5"/>
    <w:rsid w:val="0F937BB1"/>
    <w:rsid w:val="0F995705"/>
    <w:rsid w:val="0FAF627C"/>
    <w:rsid w:val="0FB3A19D"/>
    <w:rsid w:val="0FB6B791"/>
    <w:rsid w:val="0FBB178A"/>
    <w:rsid w:val="0FC76D01"/>
    <w:rsid w:val="0FD6026B"/>
    <w:rsid w:val="0FD9570B"/>
    <w:rsid w:val="0FE503A6"/>
    <w:rsid w:val="0FE6AAD5"/>
    <w:rsid w:val="0FEB7523"/>
    <w:rsid w:val="1009D186"/>
    <w:rsid w:val="10103618"/>
    <w:rsid w:val="10120AD6"/>
    <w:rsid w:val="101AE723"/>
    <w:rsid w:val="101EE7E8"/>
    <w:rsid w:val="10300B07"/>
    <w:rsid w:val="104705E4"/>
    <w:rsid w:val="104ABA41"/>
    <w:rsid w:val="104BC602"/>
    <w:rsid w:val="104E0ABF"/>
    <w:rsid w:val="10541867"/>
    <w:rsid w:val="106A9202"/>
    <w:rsid w:val="10722F46"/>
    <w:rsid w:val="1076BAB9"/>
    <w:rsid w:val="10843E9B"/>
    <w:rsid w:val="10AA1396"/>
    <w:rsid w:val="10B25F1A"/>
    <w:rsid w:val="10C5659F"/>
    <w:rsid w:val="10C72964"/>
    <w:rsid w:val="10D0A24D"/>
    <w:rsid w:val="10D4B199"/>
    <w:rsid w:val="10E30967"/>
    <w:rsid w:val="10E4B17D"/>
    <w:rsid w:val="10E6665D"/>
    <w:rsid w:val="10F57243"/>
    <w:rsid w:val="10FD81BE"/>
    <w:rsid w:val="10FD8C71"/>
    <w:rsid w:val="11062848"/>
    <w:rsid w:val="111C3497"/>
    <w:rsid w:val="111F5A75"/>
    <w:rsid w:val="112295C2"/>
    <w:rsid w:val="11237BB6"/>
    <w:rsid w:val="11343E48"/>
    <w:rsid w:val="11358AA2"/>
    <w:rsid w:val="1145C58E"/>
    <w:rsid w:val="114B0701"/>
    <w:rsid w:val="1157540D"/>
    <w:rsid w:val="115D448F"/>
    <w:rsid w:val="115FCE94"/>
    <w:rsid w:val="116833FA"/>
    <w:rsid w:val="1177A684"/>
    <w:rsid w:val="1180A64F"/>
    <w:rsid w:val="11890133"/>
    <w:rsid w:val="118A297B"/>
    <w:rsid w:val="118EAFE3"/>
    <w:rsid w:val="11B07756"/>
    <w:rsid w:val="11BFD928"/>
    <w:rsid w:val="11C1AAA4"/>
    <w:rsid w:val="11C3348F"/>
    <w:rsid w:val="11CA571F"/>
    <w:rsid w:val="11CE7458"/>
    <w:rsid w:val="11D96182"/>
    <w:rsid w:val="11E6F1CA"/>
    <w:rsid w:val="1201F243"/>
    <w:rsid w:val="1204D04D"/>
    <w:rsid w:val="1214525F"/>
    <w:rsid w:val="12188BF4"/>
    <w:rsid w:val="1235DD8A"/>
    <w:rsid w:val="12368CE1"/>
    <w:rsid w:val="123D515B"/>
    <w:rsid w:val="125FCBBD"/>
    <w:rsid w:val="12658DE9"/>
    <w:rsid w:val="126BFE3F"/>
    <w:rsid w:val="127192C1"/>
    <w:rsid w:val="1277285C"/>
    <w:rsid w:val="12A76F50"/>
    <w:rsid w:val="12BC968A"/>
    <w:rsid w:val="12DF97FB"/>
    <w:rsid w:val="12E192F8"/>
    <w:rsid w:val="12E29609"/>
    <w:rsid w:val="12F30A7B"/>
    <w:rsid w:val="12F42DB5"/>
    <w:rsid w:val="12F4B03B"/>
    <w:rsid w:val="12F63C48"/>
    <w:rsid w:val="13066B33"/>
    <w:rsid w:val="1315CF50"/>
    <w:rsid w:val="13166111"/>
    <w:rsid w:val="131DA674"/>
    <w:rsid w:val="131EF367"/>
    <w:rsid w:val="13371EC8"/>
    <w:rsid w:val="1341D5BC"/>
    <w:rsid w:val="134B31B0"/>
    <w:rsid w:val="134C4F84"/>
    <w:rsid w:val="134C6CCB"/>
    <w:rsid w:val="134E3DF5"/>
    <w:rsid w:val="1355A83D"/>
    <w:rsid w:val="1362D052"/>
    <w:rsid w:val="1364AA40"/>
    <w:rsid w:val="13846855"/>
    <w:rsid w:val="13873BA7"/>
    <w:rsid w:val="13B0ABCC"/>
    <w:rsid w:val="13B53362"/>
    <w:rsid w:val="13F44D9C"/>
    <w:rsid w:val="1403BFED"/>
    <w:rsid w:val="1417AB2B"/>
    <w:rsid w:val="141D2560"/>
    <w:rsid w:val="142AB3D7"/>
    <w:rsid w:val="142DC2B3"/>
    <w:rsid w:val="1449E9B7"/>
    <w:rsid w:val="145250FC"/>
    <w:rsid w:val="145C214C"/>
    <w:rsid w:val="146CBE59"/>
    <w:rsid w:val="147AAC0E"/>
    <w:rsid w:val="14883701"/>
    <w:rsid w:val="14970DCC"/>
    <w:rsid w:val="149F409F"/>
    <w:rsid w:val="14A4B81F"/>
    <w:rsid w:val="14AC9890"/>
    <w:rsid w:val="14BA56DC"/>
    <w:rsid w:val="14BA5986"/>
    <w:rsid w:val="14BD70ED"/>
    <w:rsid w:val="14E66354"/>
    <w:rsid w:val="14E96ADF"/>
    <w:rsid w:val="14F45E4A"/>
    <w:rsid w:val="1504C7A9"/>
    <w:rsid w:val="15261F10"/>
    <w:rsid w:val="1530F079"/>
    <w:rsid w:val="15474803"/>
    <w:rsid w:val="155083F0"/>
    <w:rsid w:val="1551D338"/>
    <w:rsid w:val="1585A292"/>
    <w:rsid w:val="15929B21"/>
    <w:rsid w:val="159BD236"/>
    <w:rsid w:val="159D3671"/>
    <w:rsid w:val="15A9E18B"/>
    <w:rsid w:val="15B3F3EA"/>
    <w:rsid w:val="15CC080A"/>
    <w:rsid w:val="15CD12BC"/>
    <w:rsid w:val="15D1118A"/>
    <w:rsid w:val="1615A167"/>
    <w:rsid w:val="1624B0E7"/>
    <w:rsid w:val="16251A16"/>
    <w:rsid w:val="1633B3F0"/>
    <w:rsid w:val="163B82FF"/>
    <w:rsid w:val="165F2A8E"/>
    <w:rsid w:val="1661FE25"/>
    <w:rsid w:val="1677D833"/>
    <w:rsid w:val="1682A25A"/>
    <w:rsid w:val="1682B466"/>
    <w:rsid w:val="168883A0"/>
    <w:rsid w:val="168D193D"/>
    <w:rsid w:val="168F5547"/>
    <w:rsid w:val="16949D0F"/>
    <w:rsid w:val="1696D4E9"/>
    <w:rsid w:val="169BF703"/>
    <w:rsid w:val="16AD1DF7"/>
    <w:rsid w:val="16B4542A"/>
    <w:rsid w:val="16B99D71"/>
    <w:rsid w:val="16C0744F"/>
    <w:rsid w:val="16C5EC44"/>
    <w:rsid w:val="16CA5C4C"/>
    <w:rsid w:val="16D40215"/>
    <w:rsid w:val="16D58CF0"/>
    <w:rsid w:val="16EA6086"/>
    <w:rsid w:val="17006B4A"/>
    <w:rsid w:val="17133BB5"/>
    <w:rsid w:val="172A6D3A"/>
    <w:rsid w:val="173614FA"/>
    <w:rsid w:val="1736D920"/>
    <w:rsid w:val="1739D45D"/>
    <w:rsid w:val="1747FA50"/>
    <w:rsid w:val="175B3200"/>
    <w:rsid w:val="1764CB6A"/>
    <w:rsid w:val="17691EAC"/>
    <w:rsid w:val="176B4B68"/>
    <w:rsid w:val="177B535F"/>
    <w:rsid w:val="179C9822"/>
    <w:rsid w:val="179CEDEB"/>
    <w:rsid w:val="179F7E7C"/>
    <w:rsid w:val="17B1D3EE"/>
    <w:rsid w:val="17B71D2C"/>
    <w:rsid w:val="17B7DC6A"/>
    <w:rsid w:val="17D25DCA"/>
    <w:rsid w:val="17D7A4F9"/>
    <w:rsid w:val="17E1008A"/>
    <w:rsid w:val="17E8E592"/>
    <w:rsid w:val="17EB61E1"/>
    <w:rsid w:val="17F9562D"/>
    <w:rsid w:val="17FE9E81"/>
    <w:rsid w:val="1802C611"/>
    <w:rsid w:val="181B7819"/>
    <w:rsid w:val="1836A9BC"/>
    <w:rsid w:val="185B9325"/>
    <w:rsid w:val="1862F463"/>
    <w:rsid w:val="186FABD2"/>
    <w:rsid w:val="187C2CEE"/>
    <w:rsid w:val="188C3616"/>
    <w:rsid w:val="188CD78A"/>
    <w:rsid w:val="189D6487"/>
    <w:rsid w:val="189F9164"/>
    <w:rsid w:val="18A4916D"/>
    <w:rsid w:val="18C0A0F9"/>
    <w:rsid w:val="18C27F2C"/>
    <w:rsid w:val="18C4D087"/>
    <w:rsid w:val="18DA4743"/>
    <w:rsid w:val="18DD0B50"/>
    <w:rsid w:val="18F59E71"/>
    <w:rsid w:val="18F86962"/>
    <w:rsid w:val="190182F1"/>
    <w:rsid w:val="19083712"/>
    <w:rsid w:val="19150229"/>
    <w:rsid w:val="1919EB68"/>
    <w:rsid w:val="191D7C2D"/>
    <w:rsid w:val="1932D6AB"/>
    <w:rsid w:val="193CEF52"/>
    <w:rsid w:val="1940988B"/>
    <w:rsid w:val="194413EC"/>
    <w:rsid w:val="1945AB93"/>
    <w:rsid w:val="194DB588"/>
    <w:rsid w:val="195890D2"/>
    <w:rsid w:val="19668914"/>
    <w:rsid w:val="196A0145"/>
    <w:rsid w:val="196F025A"/>
    <w:rsid w:val="198032D6"/>
    <w:rsid w:val="1990418E"/>
    <w:rsid w:val="199E3187"/>
    <w:rsid w:val="19A02792"/>
    <w:rsid w:val="19A79B05"/>
    <w:rsid w:val="19ADCA02"/>
    <w:rsid w:val="19BDC818"/>
    <w:rsid w:val="19C9A5F5"/>
    <w:rsid w:val="19CB1BB7"/>
    <w:rsid w:val="19CF1D01"/>
    <w:rsid w:val="19CFD91F"/>
    <w:rsid w:val="19D0EA52"/>
    <w:rsid w:val="19E74B75"/>
    <w:rsid w:val="19E75FB6"/>
    <w:rsid w:val="19E891C2"/>
    <w:rsid w:val="1A0C6EC7"/>
    <w:rsid w:val="1A194827"/>
    <w:rsid w:val="1A279F32"/>
    <w:rsid w:val="1A3113DA"/>
    <w:rsid w:val="1A3D49BC"/>
    <w:rsid w:val="1A46CDFC"/>
    <w:rsid w:val="1A4FFB74"/>
    <w:rsid w:val="1A556C68"/>
    <w:rsid w:val="1A5C6DF3"/>
    <w:rsid w:val="1A5D2F36"/>
    <w:rsid w:val="1A61266A"/>
    <w:rsid w:val="1A6F9E4E"/>
    <w:rsid w:val="1A8905AD"/>
    <w:rsid w:val="1A8B52C2"/>
    <w:rsid w:val="1AA0A32F"/>
    <w:rsid w:val="1AA25169"/>
    <w:rsid w:val="1AA6CE2B"/>
    <w:rsid w:val="1AA71A13"/>
    <w:rsid w:val="1AA853F0"/>
    <w:rsid w:val="1AA8A98F"/>
    <w:rsid w:val="1AB2F469"/>
    <w:rsid w:val="1AB71B64"/>
    <w:rsid w:val="1AC1A115"/>
    <w:rsid w:val="1ACCD15E"/>
    <w:rsid w:val="1ACE99DE"/>
    <w:rsid w:val="1AD100A2"/>
    <w:rsid w:val="1AE6C932"/>
    <w:rsid w:val="1AFFC91A"/>
    <w:rsid w:val="1B03F62A"/>
    <w:rsid w:val="1B06D86E"/>
    <w:rsid w:val="1B140B97"/>
    <w:rsid w:val="1B1FE421"/>
    <w:rsid w:val="1B299723"/>
    <w:rsid w:val="1B2FC9DB"/>
    <w:rsid w:val="1B457BB6"/>
    <w:rsid w:val="1B4920F4"/>
    <w:rsid w:val="1B560810"/>
    <w:rsid w:val="1B5725EF"/>
    <w:rsid w:val="1B5E96CF"/>
    <w:rsid w:val="1B61BD16"/>
    <w:rsid w:val="1B7033FB"/>
    <w:rsid w:val="1B7895AA"/>
    <w:rsid w:val="1B871159"/>
    <w:rsid w:val="1B8DAFD7"/>
    <w:rsid w:val="1B993C79"/>
    <w:rsid w:val="1BA297E4"/>
    <w:rsid w:val="1BAF717F"/>
    <w:rsid w:val="1BBE98C8"/>
    <w:rsid w:val="1BD53510"/>
    <w:rsid w:val="1BD68F90"/>
    <w:rsid w:val="1BDC4EC9"/>
    <w:rsid w:val="1BDE02E6"/>
    <w:rsid w:val="1BE557E8"/>
    <w:rsid w:val="1C014D33"/>
    <w:rsid w:val="1C023DAE"/>
    <w:rsid w:val="1C02962C"/>
    <w:rsid w:val="1C045A6B"/>
    <w:rsid w:val="1C074174"/>
    <w:rsid w:val="1C0BC0B1"/>
    <w:rsid w:val="1C188B92"/>
    <w:rsid w:val="1C1E0B30"/>
    <w:rsid w:val="1C275A1F"/>
    <w:rsid w:val="1C2D3BC1"/>
    <w:rsid w:val="1C31B6F2"/>
    <w:rsid w:val="1C3695DA"/>
    <w:rsid w:val="1C3B2C5A"/>
    <w:rsid w:val="1C4D1E3B"/>
    <w:rsid w:val="1C5808E0"/>
    <w:rsid w:val="1C59CDE6"/>
    <w:rsid w:val="1C7AA2A4"/>
    <w:rsid w:val="1C81A056"/>
    <w:rsid w:val="1C826B9F"/>
    <w:rsid w:val="1C8317D4"/>
    <w:rsid w:val="1C866CF2"/>
    <w:rsid w:val="1C8C8626"/>
    <w:rsid w:val="1C94FF23"/>
    <w:rsid w:val="1C9A9D14"/>
    <w:rsid w:val="1CA13047"/>
    <w:rsid w:val="1CA91410"/>
    <w:rsid w:val="1CADE5A2"/>
    <w:rsid w:val="1CB2E626"/>
    <w:rsid w:val="1CB34042"/>
    <w:rsid w:val="1CBC5C5A"/>
    <w:rsid w:val="1CBF5A69"/>
    <w:rsid w:val="1CC5D888"/>
    <w:rsid w:val="1CDF1981"/>
    <w:rsid w:val="1CE6E805"/>
    <w:rsid w:val="1CFB2A99"/>
    <w:rsid w:val="1CFDFF56"/>
    <w:rsid w:val="1D0B811D"/>
    <w:rsid w:val="1D1EF5C4"/>
    <w:rsid w:val="1D29AF23"/>
    <w:rsid w:val="1D2D723E"/>
    <w:rsid w:val="1D2F0F38"/>
    <w:rsid w:val="1D376AA6"/>
    <w:rsid w:val="1D39D875"/>
    <w:rsid w:val="1D3D7004"/>
    <w:rsid w:val="1D3EFB13"/>
    <w:rsid w:val="1D42BAEF"/>
    <w:rsid w:val="1D4577ED"/>
    <w:rsid w:val="1D58B4AC"/>
    <w:rsid w:val="1D5A980F"/>
    <w:rsid w:val="1D78195C"/>
    <w:rsid w:val="1D78EC96"/>
    <w:rsid w:val="1D89D993"/>
    <w:rsid w:val="1DA6DD21"/>
    <w:rsid w:val="1DBBBD24"/>
    <w:rsid w:val="1DC3F985"/>
    <w:rsid w:val="1DD9CB5B"/>
    <w:rsid w:val="1DDBD980"/>
    <w:rsid w:val="1DE637FE"/>
    <w:rsid w:val="1DE73F36"/>
    <w:rsid w:val="1DF9EDD6"/>
    <w:rsid w:val="1DFB3CD4"/>
    <w:rsid w:val="1E0FEC65"/>
    <w:rsid w:val="1E134B2F"/>
    <w:rsid w:val="1E1A8FAF"/>
    <w:rsid w:val="1E201EDA"/>
    <w:rsid w:val="1E3B3D8C"/>
    <w:rsid w:val="1E40D3EC"/>
    <w:rsid w:val="1E46659A"/>
    <w:rsid w:val="1E530CC9"/>
    <w:rsid w:val="1E56D3BA"/>
    <w:rsid w:val="1E607A92"/>
    <w:rsid w:val="1E610D0D"/>
    <w:rsid w:val="1E81D5F7"/>
    <w:rsid w:val="1E855D69"/>
    <w:rsid w:val="1E85DA2C"/>
    <w:rsid w:val="1E8C64FF"/>
    <w:rsid w:val="1E9E488F"/>
    <w:rsid w:val="1EB3D97A"/>
    <w:rsid w:val="1EB638AA"/>
    <w:rsid w:val="1EC13069"/>
    <w:rsid w:val="1ECA8C9D"/>
    <w:rsid w:val="1ED14D18"/>
    <w:rsid w:val="1ED394CE"/>
    <w:rsid w:val="1EE70BC2"/>
    <w:rsid w:val="1EEE2006"/>
    <w:rsid w:val="1F0D701A"/>
    <w:rsid w:val="1F25D8C9"/>
    <w:rsid w:val="1F2600B8"/>
    <w:rsid w:val="1F2D5F54"/>
    <w:rsid w:val="1F2E9CB3"/>
    <w:rsid w:val="1F37447F"/>
    <w:rsid w:val="1F44900C"/>
    <w:rsid w:val="1F485C4A"/>
    <w:rsid w:val="1F4B7D74"/>
    <w:rsid w:val="1F4DF37F"/>
    <w:rsid w:val="1F51C3B1"/>
    <w:rsid w:val="1F533E17"/>
    <w:rsid w:val="1F56C273"/>
    <w:rsid w:val="1F78E923"/>
    <w:rsid w:val="1F838DBB"/>
    <w:rsid w:val="1F921AD9"/>
    <w:rsid w:val="1FADF2A4"/>
    <w:rsid w:val="1FBC39B1"/>
    <w:rsid w:val="1FBE50BA"/>
    <w:rsid w:val="1FCAE8C5"/>
    <w:rsid w:val="1FD594C0"/>
    <w:rsid w:val="1FDED6EE"/>
    <w:rsid w:val="1FFED520"/>
    <w:rsid w:val="20027BD0"/>
    <w:rsid w:val="201842CA"/>
    <w:rsid w:val="20315ED7"/>
    <w:rsid w:val="204BB43E"/>
    <w:rsid w:val="204F6E61"/>
    <w:rsid w:val="2050D7AD"/>
    <w:rsid w:val="2054C7C9"/>
    <w:rsid w:val="2059F1B1"/>
    <w:rsid w:val="206D2EC8"/>
    <w:rsid w:val="2082084D"/>
    <w:rsid w:val="20844CA8"/>
    <w:rsid w:val="208E8788"/>
    <w:rsid w:val="209A4C20"/>
    <w:rsid w:val="20AA9618"/>
    <w:rsid w:val="20E6ECA9"/>
    <w:rsid w:val="20F07984"/>
    <w:rsid w:val="20F5D042"/>
    <w:rsid w:val="20FE1154"/>
    <w:rsid w:val="20FEDEA9"/>
    <w:rsid w:val="214DE9E1"/>
    <w:rsid w:val="21544F02"/>
    <w:rsid w:val="2171F3CF"/>
    <w:rsid w:val="2188A5AE"/>
    <w:rsid w:val="218E4D83"/>
    <w:rsid w:val="21903C53"/>
    <w:rsid w:val="2190B245"/>
    <w:rsid w:val="219A2E1B"/>
    <w:rsid w:val="21AAB686"/>
    <w:rsid w:val="21C26073"/>
    <w:rsid w:val="21C3F188"/>
    <w:rsid w:val="21C9EBDD"/>
    <w:rsid w:val="21CD8655"/>
    <w:rsid w:val="21DFA5AF"/>
    <w:rsid w:val="21E5A534"/>
    <w:rsid w:val="21F44E6F"/>
    <w:rsid w:val="22060A4A"/>
    <w:rsid w:val="220D81E6"/>
    <w:rsid w:val="220DCF06"/>
    <w:rsid w:val="2211A45E"/>
    <w:rsid w:val="22167747"/>
    <w:rsid w:val="222FE6C8"/>
    <w:rsid w:val="22326ED6"/>
    <w:rsid w:val="22328CEE"/>
    <w:rsid w:val="2253A1FB"/>
    <w:rsid w:val="225DE2DB"/>
    <w:rsid w:val="229D28EE"/>
    <w:rsid w:val="22A8CD1A"/>
    <w:rsid w:val="22B85B22"/>
    <w:rsid w:val="22B937B6"/>
    <w:rsid w:val="22D92B79"/>
    <w:rsid w:val="22DA405E"/>
    <w:rsid w:val="22F4436E"/>
    <w:rsid w:val="22F84122"/>
    <w:rsid w:val="22FBAB85"/>
    <w:rsid w:val="22FE4D4E"/>
    <w:rsid w:val="231154BB"/>
    <w:rsid w:val="231363A5"/>
    <w:rsid w:val="232F202F"/>
    <w:rsid w:val="233EE664"/>
    <w:rsid w:val="234F2DBD"/>
    <w:rsid w:val="2353BBF6"/>
    <w:rsid w:val="235DB118"/>
    <w:rsid w:val="236333B9"/>
    <w:rsid w:val="236B6C97"/>
    <w:rsid w:val="23762286"/>
    <w:rsid w:val="237D9D04"/>
    <w:rsid w:val="2384A427"/>
    <w:rsid w:val="2388005C"/>
    <w:rsid w:val="23961E4B"/>
    <w:rsid w:val="239E890A"/>
    <w:rsid w:val="239F273E"/>
    <w:rsid w:val="23B52A23"/>
    <w:rsid w:val="23C5CF6E"/>
    <w:rsid w:val="23C69889"/>
    <w:rsid w:val="23C8B878"/>
    <w:rsid w:val="23CB1E10"/>
    <w:rsid w:val="23CB8BA8"/>
    <w:rsid w:val="23CCA5AB"/>
    <w:rsid w:val="23DC9FC1"/>
    <w:rsid w:val="23E1A3ED"/>
    <w:rsid w:val="23EF7521"/>
    <w:rsid w:val="23F09DF6"/>
    <w:rsid w:val="23F7DFF2"/>
    <w:rsid w:val="23F84EC8"/>
    <w:rsid w:val="240DB12E"/>
    <w:rsid w:val="242E16A0"/>
    <w:rsid w:val="2431604D"/>
    <w:rsid w:val="2433501C"/>
    <w:rsid w:val="243ED1CE"/>
    <w:rsid w:val="244C5590"/>
    <w:rsid w:val="2454BE85"/>
    <w:rsid w:val="2456D234"/>
    <w:rsid w:val="245B6D95"/>
    <w:rsid w:val="24672E60"/>
    <w:rsid w:val="246A7E58"/>
    <w:rsid w:val="246BEE32"/>
    <w:rsid w:val="246FC8B3"/>
    <w:rsid w:val="24770DFA"/>
    <w:rsid w:val="2477CFE2"/>
    <w:rsid w:val="249726C5"/>
    <w:rsid w:val="249BAFAD"/>
    <w:rsid w:val="249BEBB6"/>
    <w:rsid w:val="24BFEFDC"/>
    <w:rsid w:val="24C0ED13"/>
    <w:rsid w:val="24C91158"/>
    <w:rsid w:val="24D52480"/>
    <w:rsid w:val="24E1ED4B"/>
    <w:rsid w:val="24E9C01B"/>
    <w:rsid w:val="24EC698D"/>
    <w:rsid w:val="24ED6A15"/>
    <w:rsid w:val="2501E0DF"/>
    <w:rsid w:val="252870A6"/>
    <w:rsid w:val="252EF352"/>
    <w:rsid w:val="253B8169"/>
    <w:rsid w:val="253BC8EE"/>
    <w:rsid w:val="2540DFFC"/>
    <w:rsid w:val="25569AFE"/>
    <w:rsid w:val="2558AD6A"/>
    <w:rsid w:val="25650852"/>
    <w:rsid w:val="256CC422"/>
    <w:rsid w:val="257A1DB8"/>
    <w:rsid w:val="257AFA84"/>
    <w:rsid w:val="2589403A"/>
    <w:rsid w:val="259609D6"/>
    <w:rsid w:val="25BAFE62"/>
    <w:rsid w:val="25C4F66B"/>
    <w:rsid w:val="25D61B14"/>
    <w:rsid w:val="25D748CF"/>
    <w:rsid w:val="25D80303"/>
    <w:rsid w:val="25DA0CD1"/>
    <w:rsid w:val="25DD7CD3"/>
    <w:rsid w:val="25E32A70"/>
    <w:rsid w:val="25FA4979"/>
    <w:rsid w:val="25FFE3FF"/>
    <w:rsid w:val="260316E1"/>
    <w:rsid w:val="26060B61"/>
    <w:rsid w:val="260BD1BD"/>
    <w:rsid w:val="261C630E"/>
    <w:rsid w:val="26660D01"/>
    <w:rsid w:val="266B7B0A"/>
    <w:rsid w:val="266D241B"/>
    <w:rsid w:val="26708D1D"/>
    <w:rsid w:val="267589FD"/>
    <w:rsid w:val="267905BB"/>
    <w:rsid w:val="267A091D"/>
    <w:rsid w:val="267C2B6F"/>
    <w:rsid w:val="2682048C"/>
    <w:rsid w:val="2698F270"/>
    <w:rsid w:val="269E4C1E"/>
    <w:rsid w:val="26A6E368"/>
    <w:rsid w:val="26AB59EC"/>
    <w:rsid w:val="26B6B460"/>
    <w:rsid w:val="26C439B5"/>
    <w:rsid w:val="26C4F0C8"/>
    <w:rsid w:val="26CE2864"/>
    <w:rsid w:val="26D80CAC"/>
    <w:rsid w:val="26ED0179"/>
    <w:rsid w:val="26FB4A72"/>
    <w:rsid w:val="26FC76E4"/>
    <w:rsid w:val="270A18BC"/>
    <w:rsid w:val="270AEC22"/>
    <w:rsid w:val="271029E9"/>
    <w:rsid w:val="2711E1BB"/>
    <w:rsid w:val="2742EA81"/>
    <w:rsid w:val="2747999D"/>
    <w:rsid w:val="274A27A1"/>
    <w:rsid w:val="275C4B67"/>
    <w:rsid w:val="275EADE9"/>
    <w:rsid w:val="2763BB2B"/>
    <w:rsid w:val="2764208F"/>
    <w:rsid w:val="2778C2A8"/>
    <w:rsid w:val="27A2D7B4"/>
    <w:rsid w:val="27A4FB9C"/>
    <w:rsid w:val="27A67DEF"/>
    <w:rsid w:val="27A7C709"/>
    <w:rsid w:val="27BE58DB"/>
    <w:rsid w:val="27C58B5F"/>
    <w:rsid w:val="27D79DE5"/>
    <w:rsid w:val="27D92359"/>
    <w:rsid w:val="27D9E114"/>
    <w:rsid w:val="27DB8853"/>
    <w:rsid w:val="2807DFB8"/>
    <w:rsid w:val="28085583"/>
    <w:rsid w:val="280D42A6"/>
    <w:rsid w:val="280EF4F5"/>
    <w:rsid w:val="28132C02"/>
    <w:rsid w:val="2814DA2E"/>
    <w:rsid w:val="281824C4"/>
    <w:rsid w:val="28235C1A"/>
    <w:rsid w:val="28278EA1"/>
    <w:rsid w:val="283E483F"/>
    <w:rsid w:val="284E1A09"/>
    <w:rsid w:val="284F4AFB"/>
    <w:rsid w:val="2857288C"/>
    <w:rsid w:val="28615509"/>
    <w:rsid w:val="2868540B"/>
    <w:rsid w:val="2882666E"/>
    <w:rsid w:val="2882D6E6"/>
    <w:rsid w:val="289B7A6A"/>
    <w:rsid w:val="289B90B2"/>
    <w:rsid w:val="289D3D2C"/>
    <w:rsid w:val="28B57630"/>
    <w:rsid w:val="28BEAC1B"/>
    <w:rsid w:val="28C27FF5"/>
    <w:rsid w:val="28DAECAF"/>
    <w:rsid w:val="28E9DBE8"/>
    <w:rsid w:val="28EB34C9"/>
    <w:rsid w:val="28ED0F05"/>
    <w:rsid w:val="28EDF3DC"/>
    <w:rsid w:val="28F82A5F"/>
    <w:rsid w:val="28FE97A0"/>
    <w:rsid w:val="290DECC9"/>
    <w:rsid w:val="291CB58D"/>
    <w:rsid w:val="291E010C"/>
    <w:rsid w:val="29251021"/>
    <w:rsid w:val="2934401F"/>
    <w:rsid w:val="29385B00"/>
    <w:rsid w:val="293F991E"/>
    <w:rsid w:val="295BC31A"/>
    <w:rsid w:val="295BE997"/>
    <w:rsid w:val="29782ACE"/>
    <w:rsid w:val="297C4618"/>
    <w:rsid w:val="29826C6C"/>
    <w:rsid w:val="298942D2"/>
    <w:rsid w:val="299329FF"/>
    <w:rsid w:val="29A80E74"/>
    <w:rsid w:val="29A8C512"/>
    <w:rsid w:val="29AF547A"/>
    <w:rsid w:val="29B4ACAA"/>
    <w:rsid w:val="29CC39F4"/>
    <w:rsid w:val="29D52629"/>
    <w:rsid w:val="29DDAA38"/>
    <w:rsid w:val="29E54456"/>
    <w:rsid w:val="29EE6921"/>
    <w:rsid w:val="2A0002C1"/>
    <w:rsid w:val="2A0495E5"/>
    <w:rsid w:val="2A0CCE22"/>
    <w:rsid w:val="2A0E31C1"/>
    <w:rsid w:val="2A0FF57E"/>
    <w:rsid w:val="2A171F4D"/>
    <w:rsid w:val="2A1E2520"/>
    <w:rsid w:val="2A258140"/>
    <w:rsid w:val="2A36EBA8"/>
    <w:rsid w:val="2A4617C7"/>
    <w:rsid w:val="2A492322"/>
    <w:rsid w:val="2A7AF3B3"/>
    <w:rsid w:val="2A965177"/>
    <w:rsid w:val="2A9FE83C"/>
    <w:rsid w:val="2AA43DE2"/>
    <w:rsid w:val="2AAB7753"/>
    <w:rsid w:val="2AC672BE"/>
    <w:rsid w:val="2ACAEBCC"/>
    <w:rsid w:val="2AD498E5"/>
    <w:rsid w:val="2AE7B590"/>
    <w:rsid w:val="2AE8686A"/>
    <w:rsid w:val="2AF09380"/>
    <w:rsid w:val="2AF2B436"/>
    <w:rsid w:val="2AF77738"/>
    <w:rsid w:val="2AFF8747"/>
    <w:rsid w:val="2B0323F6"/>
    <w:rsid w:val="2B331FEE"/>
    <w:rsid w:val="2B418BEE"/>
    <w:rsid w:val="2B558103"/>
    <w:rsid w:val="2B63559A"/>
    <w:rsid w:val="2B695715"/>
    <w:rsid w:val="2B7071ED"/>
    <w:rsid w:val="2B719BC1"/>
    <w:rsid w:val="2B745602"/>
    <w:rsid w:val="2B7DA7B9"/>
    <w:rsid w:val="2B7E8778"/>
    <w:rsid w:val="2B89B256"/>
    <w:rsid w:val="2B91423F"/>
    <w:rsid w:val="2BA07AC0"/>
    <w:rsid w:val="2BA5797C"/>
    <w:rsid w:val="2BB35FA5"/>
    <w:rsid w:val="2BB3E2AD"/>
    <w:rsid w:val="2BC375AD"/>
    <w:rsid w:val="2BC8ED9F"/>
    <w:rsid w:val="2BD807B1"/>
    <w:rsid w:val="2BE04A80"/>
    <w:rsid w:val="2BE1E828"/>
    <w:rsid w:val="2BE2C970"/>
    <w:rsid w:val="2BE46B4C"/>
    <w:rsid w:val="2BE8BD83"/>
    <w:rsid w:val="2BF2D629"/>
    <w:rsid w:val="2BFD1DF3"/>
    <w:rsid w:val="2C25440F"/>
    <w:rsid w:val="2C2852B4"/>
    <w:rsid w:val="2C2B562C"/>
    <w:rsid w:val="2C3EA55A"/>
    <w:rsid w:val="2C464940"/>
    <w:rsid w:val="2C531FD8"/>
    <w:rsid w:val="2C541653"/>
    <w:rsid w:val="2C5C4585"/>
    <w:rsid w:val="2C69BED1"/>
    <w:rsid w:val="2C739405"/>
    <w:rsid w:val="2C8A9527"/>
    <w:rsid w:val="2C92FAD0"/>
    <w:rsid w:val="2C935D98"/>
    <w:rsid w:val="2C948418"/>
    <w:rsid w:val="2CA45B49"/>
    <w:rsid w:val="2CA57C6F"/>
    <w:rsid w:val="2CABE996"/>
    <w:rsid w:val="2CCA1B97"/>
    <w:rsid w:val="2CDE9B6D"/>
    <w:rsid w:val="2CE52CC6"/>
    <w:rsid w:val="2CEB4649"/>
    <w:rsid w:val="2CF1DC1E"/>
    <w:rsid w:val="2D032A5A"/>
    <w:rsid w:val="2D142821"/>
    <w:rsid w:val="2D3F1FEE"/>
    <w:rsid w:val="2D50909C"/>
    <w:rsid w:val="2D55C924"/>
    <w:rsid w:val="2D5621FE"/>
    <w:rsid w:val="2D6C0140"/>
    <w:rsid w:val="2D7FF616"/>
    <w:rsid w:val="2D8B8F22"/>
    <w:rsid w:val="2D8D635C"/>
    <w:rsid w:val="2DB0DB47"/>
    <w:rsid w:val="2DB5A651"/>
    <w:rsid w:val="2DB7D071"/>
    <w:rsid w:val="2DD3AAC5"/>
    <w:rsid w:val="2DE019EB"/>
    <w:rsid w:val="2DE03FDE"/>
    <w:rsid w:val="2E0D4ADE"/>
    <w:rsid w:val="2E2AA581"/>
    <w:rsid w:val="2E343E1A"/>
    <w:rsid w:val="2E38EFE7"/>
    <w:rsid w:val="2E3E2F2E"/>
    <w:rsid w:val="2E4BFEB7"/>
    <w:rsid w:val="2E518847"/>
    <w:rsid w:val="2E531C3B"/>
    <w:rsid w:val="2E55F300"/>
    <w:rsid w:val="2E5B89DB"/>
    <w:rsid w:val="2E5DC164"/>
    <w:rsid w:val="2E761D6D"/>
    <w:rsid w:val="2E854986"/>
    <w:rsid w:val="2E8CFF8E"/>
    <w:rsid w:val="2E95C652"/>
    <w:rsid w:val="2EB0CB1F"/>
    <w:rsid w:val="2EBD2365"/>
    <w:rsid w:val="2EBFA5B6"/>
    <w:rsid w:val="2ECFB546"/>
    <w:rsid w:val="2ED52398"/>
    <w:rsid w:val="2EDFAC02"/>
    <w:rsid w:val="2EE8C9F4"/>
    <w:rsid w:val="2EF5D356"/>
    <w:rsid w:val="2EF67E1E"/>
    <w:rsid w:val="2EFC2EC4"/>
    <w:rsid w:val="2EFDCCFB"/>
    <w:rsid w:val="2F02B86C"/>
    <w:rsid w:val="2F06E6DD"/>
    <w:rsid w:val="2F2D52C8"/>
    <w:rsid w:val="2F35D6E7"/>
    <w:rsid w:val="2F3F0976"/>
    <w:rsid w:val="2F47AD91"/>
    <w:rsid w:val="2F5AA4EA"/>
    <w:rsid w:val="2F5AFDD5"/>
    <w:rsid w:val="2F5DE66D"/>
    <w:rsid w:val="2F779DC9"/>
    <w:rsid w:val="2F85A265"/>
    <w:rsid w:val="2F8A26D1"/>
    <w:rsid w:val="2F9ACC0B"/>
    <w:rsid w:val="2FA346A8"/>
    <w:rsid w:val="2FA710DB"/>
    <w:rsid w:val="2FA73155"/>
    <w:rsid w:val="2FC0A19B"/>
    <w:rsid w:val="2FCB76E2"/>
    <w:rsid w:val="2FD34CF6"/>
    <w:rsid w:val="2FDEA400"/>
    <w:rsid w:val="2FDF86A4"/>
    <w:rsid w:val="2FE39512"/>
    <w:rsid w:val="2FEAF158"/>
    <w:rsid w:val="30014134"/>
    <w:rsid w:val="301322C1"/>
    <w:rsid w:val="3013BB82"/>
    <w:rsid w:val="30226A7E"/>
    <w:rsid w:val="302B88DC"/>
    <w:rsid w:val="302D6FFF"/>
    <w:rsid w:val="3040E188"/>
    <w:rsid w:val="304589D1"/>
    <w:rsid w:val="304DDFF5"/>
    <w:rsid w:val="30576693"/>
    <w:rsid w:val="306885FD"/>
    <w:rsid w:val="306A04EA"/>
    <w:rsid w:val="307FAF79"/>
    <w:rsid w:val="3082E4CE"/>
    <w:rsid w:val="309F34D6"/>
    <w:rsid w:val="30AFF72E"/>
    <w:rsid w:val="30B2D4CC"/>
    <w:rsid w:val="30B6937A"/>
    <w:rsid w:val="30B6A298"/>
    <w:rsid w:val="30D57997"/>
    <w:rsid w:val="30D7A848"/>
    <w:rsid w:val="30D9FA54"/>
    <w:rsid w:val="30FBD3CE"/>
    <w:rsid w:val="3111AB8C"/>
    <w:rsid w:val="3125873B"/>
    <w:rsid w:val="312D959D"/>
    <w:rsid w:val="3131896D"/>
    <w:rsid w:val="3134E7A0"/>
    <w:rsid w:val="3136D349"/>
    <w:rsid w:val="313C72CF"/>
    <w:rsid w:val="3143ABB7"/>
    <w:rsid w:val="314430CF"/>
    <w:rsid w:val="316E7EE4"/>
    <w:rsid w:val="316FA89B"/>
    <w:rsid w:val="317230D5"/>
    <w:rsid w:val="317340A7"/>
    <w:rsid w:val="3184A466"/>
    <w:rsid w:val="31946DA2"/>
    <w:rsid w:val="319DF698"/>
    <w:rsid w:val="31A57407"/>
    <w:rsid w:val="31ABE371"/>
    <w:rsid w:val="31CE70E7"/>
    <w:rsid w:val="31E2A9EF"/>
    <w:rsid w:val="31E7EFF8"/>
    <w:rsid w:val="31F4D5F0"/>
    <w:rsid w:val="32012CFD"/>
    <w:rsid w:val="320681A2"/>
    <w:rsid w:val="320AD92D"/>
    <w:rsid w:val="3211CB09"/>
    <w:rsid w:val="3215A897"/>
    <w:rsid w:val="321B3E38"/>
    <w:rsid w:val="322A851E"/>
    <w:rsid w:val="3233E5CC"/>
    <w:rsid w:val="32457DA6"/>
    <w:rsid w:val="325AC5D9"/>
    <w:rsid w:val="3262B321"/>
    <w:rsid w:val="326D6A87"/>
    <w:rsid w:val="327C5E09"/>
    <w:rsid w:val="32904311"/>
    <w:rsid w:val="32921074"/>
    <w:rsid w:val="32A346D4"/>
    <w:rsid w:val="32ADB7A6"/>
    <w:rsid w:val="32C151D5"/>
    <w:rsid w:val="32C9EF64"/>
    <w:rsid w:val="32CBA887"/>
    <w:rsid w:val="32D17E41"/>
    <w:rsid w:val="32D6C694"/>
    <w:rsid w:val="32DD72AC"/>
    <w:rsid w:val="32EB9365"/>
    <w:rsid w:val="32EF3C1C"/>
    <w:rsid w:val="32F6C6CC"/>
    <w:rsid w:val="3316149F"/>
    <w:rsid w:val="333053E9"/>
    <w:rsid w:val="3341A747"/>
    <w:rsid w:val="3357C0FB"/>
    <w:rsid w:val="335C4A94"/>
    <w:rsid w:val="337D5379"/>
    <w:rsid w:val="338A78B2"/>
    <w:rsid w:val="339218E1"/>
    <w:rsid w:val="339B1173"/>
    <w:rsid w:val="33B28A60"/>
    <w:rsid w:val="33C4D1C8"/>
    <w:rsid w:val="33C77646"/>
    <w:rsid w:val="33D173F5"/>
    <w:rsid w:val="33D4AEAF"/>
    <w:rsid w:val="33E7EADF"/>
    <w:rsid w:val="340BDBCF"/>
    <w:rsid w:val="3417F3E7"/>
    <w:rsid w:val="342E5C5E"/>
    <w:rsid w:val="34402796"/>
    <w:rsid w:val="344341BD"/>
    <w:rsid w:val="34465ACB"/>
    <w:rsid w:val="34484435"/>
    <w:rsid w:val="344DF450"/>
    <w:rsid w:val="3457DCBB"/>
    <w:rsid w:val="345F7C57"/>
    <w:rsid w:val="34639890"/>
    <w:rsid w:val="347FA2AB"/>
    <w:rsid w:val="348EBE7D"/>
    <w:rsid w:val="34936508"/>
    <w:rsid w:val="34942CC3"/>
    <w:rsid w:val="34B42711"/>
    <w:rsid w:val="34B85490"/>
    <w:rsid w:val="34BCA9E4"/>
    <w:rsid w:val="34D04FF2"/>
    <w:rsid w:val="34D45418"/>
    <w:rsid w:val="34D60811"/>
    <w:rsid w:val="34E17C7F"/>
    <w:rsid w:val="34E6A848"/>
    <w:rsid w:val="34F9898B"/>
    <w:rsid w:val="34FD42CA"/>
    <w:rsid w:val="350C5DCD"/>
    <w:rsid w:val="35169644"/>
    <w:rsid w:val="352676B3"/>
    <w:rsid w:val="352B35D0"/>
    <w:rsid w:val="3542716D"/>
    <w:rsid w:val="355C6927"/>
    <w:rsid w:val="355F4219"/>
    <w:rsid w:val="3573D85C"/>
    <w:rsid w:val="3578680C"/>
    <w:rsid w:val="358C47A1"/>
    <w:rsid w:val="35959F41"/>
    <w:rsid w:val="35CD2E68"/>
    <w:rsid w:val="35CF4491"/>
    <w:rsid w:val="35D57F6D"/>
    <w:rsid w:val="35DFCF67"/>
    <w:rsid w:val="35E10077"/>
    <w:rsid w:val="360076AD"/>
    <w:rsid w:val="36038666"/>
    <w:rsid w:val="360D2A8D"/>
    <w:rsid w:val="3611D544"/>
    <w:rsid w:val="362271EE"/>
    <w:rsid w:val="3622A5F4"/>
    <w:rsid w:val="362465A6"/>
    <w:rsid w:val="362AFBFE"/>
    <w:rsid w:val="3643D91B"/>
    <w:rsid w:val="36599873"/>
    <w:rsid w:val="366EA3A5"/>
    <w:rsid w:val="36705035"/>
    <w:rsid w:val="368556AE"/>
    <w:rsid w:val="36916251"/>
    <w:rsid w:val="3693E5DF"/>
    <w:rsid w:val="369B1FCB"/>
    <w:rsid w:val="36AA13D1"/>
    <w:rsid w:val="36E46786"/>
    <w:rsid w:val="36F5A8D2"/>
    <w:rsid w:val="37005331"/>
    <w:rsid w:val="3710D786"/>
    <w:rsid w:val="371B925E"/>
    <w:rsid w:val="3728CE6D"/>
    <w:rsid w:val="3732C4C1"/>
    <w:rsid w:val="373CBCE2"/>
    <w:rsid w:val="3743C05D"/>
    <w:rsid w:val="37638964"/>
    <w:rsid w:val="376763D2"/>
    <w:rsid w:val="3783E7C4"/>
    <w:rsid w:val="378B332D"/>
    <w:rsid w:val="378F9154"/>
    <w:rsid w:val="37AE74B1"/>
    <w:rsid w:val="37B0D503"/>
    <w:rsid w:val="37B225A6"/>
    <w:rsid w:val="37B3F9BC"/>
    <w:rsid w:val="37BFEDBB"/>
    <w:rsid w:val="37C58557"/>
    <w:rsid w:val="37C7B37A"/>
    <w:rsid w:val="37CD484C"/>
    <w:rsid w:val="37D6FE2A"/>
    <w:rsid w:val="37DE7BC7"/>
    <w:rsid w:val="38010397"/>
    <w:rsid w:val="3808F258"/>
    <w:rsid w:val="3820AE1C"/>
    <w:rsid w:val="38355A32"/>
    <w:rsid w:val="384B7ADF"/>
    <w:rsid w:val="3855596E"/>
    <w:rsid w:val="385E5BF5"/>
    <w:rsid w:val="38657FDF"/>
    <w:rsid w:val="3884BD40"/>
    <w:rsid w:val="388590EA"/>
    <w:rsid w:val="38883D03"/>
    <w:rsid w:val="389E10F8"/>
    <w:rsid w:val="38B0F5C6"/>
    <w:rsid w:val="38BD79D0"/>
    <w:rsid w:val="38CFF0E7"/>
    <w:rsid w:val="38F80360"/>
    <w:rsid w:val="39120F1E"/>
    <w:rsid w:val="3917B51F"/>
    <w:rsid w:val="3922370C"/>
    <w:rsid w:val="3931C923"/>
    <w:rsid w:val="39340F93"/>
    <w:rsid w:val="39439875"/>
    <w:rsid w:val="3947AA5A"/>
    <w:rsid w:val="3958C552"/>
    <w:rsid w:val="39654FE2"/>
    <w:rsid w:val="39683989"/>
    <w:rsid w:val="39711AF3"/>
    <w:rsid w:val="399BC545"/>
    <w:rsid w:val="399C8421"/>
    <w:rsid w:val="39A4A8EC"/>
    <w:rsid w:val="39C10844"/>
    <w:rsid w:val="39C3273A"/>
    <w:rsid w:val="39C71EEC"/>
    <w:rsid w:val="39CECB72"/>
    <w:rsid w:val="39CF66FB"/>
    <w:rsid w:val="39DAE7FF"/>
    <w:rsid w:val="39ED2E5B"/>
    <w:rsid w:val="39EFA29C"/>
    <w:rsid w:val="39F5A00C"/>
    <w:rsid w:val="3A03BC88"/>
    <w:rsid w:val="3A148AB1"/>
    <w:rsid w:val="3A16219D"/>
    <w:rsid w:val="3A282D06"/>
    <w:rsid w:val="3A2AA50B"/>
    <w:rsid w:val="3A2EADDB"/>
    <w:rsid w:val="3A360AEA"/>
    <w:rsid w:val="3A414C78"/>
    <w:rsid w:val="3A4AFE1B"/>
    <w:rsid w:val="3A5D894A"/>
    <w:rsid w:val="3A6C7D66"/>
    <w:rsid w:val="3A75108C"/>
    <w:rsid w:val="3A7AFDB6"/>
    <w:rsid w:val="3A82E9C3"/>
    <w:rsid w:val="3A95DEF9"/>
    <w:rsid w:val="3AAF26A2"/>
    <w:rsid w:val="3AAF9553"/>
    <w:rsid w:val="3AD4EC41"/>
    <w:rsid w:val="3AD69CC6"/>
    <w:rsid w:val="3ADEF2DF"/>
    <w:rsid w:val="3AEBA177"/>
    <w:rsid w:val="3AEC169D"/>
    <w:rsid w:val="3AF2E225"/>
    <w:rsid w:val="3AFD1EFF"/>
    <w:rsid w:val="3AFE2E5F"/>
    <w:rsid w:val="3B0B5AF4"/>
    <w:rsid w:val="3B1FA520"/>
    <w:rsid w:val="3B20F797"/>
    <w:rsid w:val="3B238D27"/>
    <w:rsid w:val="3B45CB96"/>
    <w:rsid w:val="3B4A4A05"/>
    <w:rsid w:val="3B517519"/>
    <w:rsid w:val="3B722AD3"/>
    <w:rsid w:val="3B79D160"/>
    <w:rsid w:val="3B7A1566"/>
    <w:rsid w:val="3B7C7955"/>
    <w:rsid w:val="3B978964"/>
    <w:rsid w:val="3B988912"/>
    <w:rsid w:val="3BA22E86"/>
    <w:rsid w:val="3BAA3CBB"/>
    <w:rsid w:val="3BAC6D5E"/>
    <w:rsid w:val="3BBF12AE"/>
    <w:rsid w:val="3BC48FAD"/>
    <w:rsid w:val="3BE8065F"/>
    <w:rsid w:val="3BFD99CA"/>
    <w:rsid w:val="3C025062"/>
    <w:rsid w:val="3C10EE50"/>
    <w:rsid w:val="3C13182F"/>
    <w:rsid w:val="3C1D55CD"/>
    <w:rsid w:val="3C378C6D"/>
    <w:rsid w:val="3C3C7D19"/>
    <w:rsid w:val="3C42BC59"/>
    <w:rsid w:val="3C4A0440"/>
    <w:rsid w:val="3C4B9930"/>
    <w:rsid w:val="3C52943D"/>
    <w:rsid w:val="3C52AA98"/>
    <w:rsid w:val="3C5E4530"/>
    <w:rsid w:val="3C93125E"/>
    <w:rsid w:val="3C96CD3A"/>
    <w:rsid w:val="3CBBFFF5"/>
    <w:rsid w:val="3CD3C517"/>
    <w:rsid w:val="3CDCCF8A"/>
    <w:rsid w:val="3CDF3901"/>
    <w:rsid w:val="3D1A49D3"/>
    <w:rsid w:val="3D1B0B70"/>
    <w:rsid w:val="3D243DD1"/>
    <w:rsid w:val="3D37FF28"/>
    <w:rsid w:val="3D3A2FFC"/>
    <w:rsid w:val="3D535603"/>
    <w:rsid w:val="3D635ECC"/>
    <w:rsid w:val="3D77821E"/>
    <w:rsid w:val="3D7DB350"/>
    <w:rsid w:val="3D893488"/>
    <w:rsid w:val="3D8D84ED"/>
    <w:rsid w:val="3D979B1C"/>
    <w:rsid w:val="3DA028E9"/>
    <w:rsid w:val="3DA2D2F5"/>
    <w:rsid w:val="3DA6C11B"/>
    <w:rsid w:val="3DB41021"/>
    <w:rsid w:val="3DB5D91C"/>
    <w:rsid w:val="3DD854AC"/>
    <w:rsid w:val="3DDDDBD1"/>
    <w:rsid w:val="3DDFDA43"/>
    <w:rsid w:val="3DF40ABC"/>
    <w:rsid w:val="3DF93755"/>
    <w:rsid w:val="3DFA049E"/>
    <w:rsid w:val="3E00879D"/>
    <w:rsid w:val="3E028448"/>
    <w:rsid w:val="3E2E7C3F"/>
    <w:rsid w:val="3E33623A"/>
    <w:rsid w:val="3E38CC01"/>
    <w:rsid w:val="3E54D855"/>
    <w:rsid w:val="3E62BCF7"/>
    <w:rsid w:val="3E6D3FD9"/>
    <w:rsid w:val="3E6F7FB9"/>
    <w:rsid w:val="3E753D99"/>
    <w:rsid w:val="3E7896E6"/>
    <w:rsid w:val="3E7FDE57"/>
    <w:rsid w:val="3E87F783"/>
    <w:rsid w:val="3E8DFED4"/>
    <w:rsid w:val="3E9D2006"/>
    <w:rsid w:val="3EA6B62A"/>
    <w:rsid w:val="3EAD72E5"/>
    <w:rsid w:val="3EB77014"/>
    <w:rsid w:val="3ECDEA76"/>
    <w:rsid w:val="3ED9E9DD"/>
    <w:rsid w:val="3EDFFDFC"/>
    <w:rsid w:val="3EE598A7"/>
    <w:rsid w:val="3EF76E70"/>
    <w:rsid w:val="3F02552F"/>
    <w:rsid w:val="3F0CAE26"/>
    <w:rsid w:val="3F1626B0"/>
    <w:rsid w:val="3F268631"/>
    <w:rsid w:val="3F3FF36B"/>
    <w:rsid w:val="3F58300F"/>
    <w:rsid w:val="3F59EEF3"/>
    <w:rsid w:val="3F5C32F8"/>
    <w:rsid w:val="3F616BFB"/>
    <w:rsid w:val="3F637199"/>
    <w:rsid w:val="3F672677"/>
    <w:rsid w:val="3F68239C"/>
    <w:rsid w:val="3F70027E"/>
    <w:rsid w:val="3FB8C20C"/>
    <w:rsid w:val="3FC1680A"/>
    <w:rsid w:val="3FC9D402"/>
    <w:rsid w:val="3FDE9BDF"/>
    <w:rsid w:val="3FE2E2BF"/>
    <w:rsid w:val="3FE90790"/>
    <w:rsid w:val="3FE97A5D"/>
    <w:rsid w:val="3FF78B87"/>
    <w:rsid w:val="3FF89142"/>
    <w:rsid w:val="3FFF16EA"/>
    <w:rsid w:val="401C69E4"/>
    <w:rsid w:val="401E4F13"/>
    <w:rsid w:val="402020EB"/>
    <w:rsid w:val="40276071"/>
    <w:rsid w:val="402D5002"/>
    <w:rsid w:val="402F055C"/>
    <w:rsid w:val="404BE40D"/>
    <w:rsid w:val="404EBD87"/>
    <w:rsid w:val="405514CF"/>
    <w:rsid w:val="4064EF68"/>
    <w:rsid w:val="406BAAD7"/>
    <w:rsid w:val="407780C5"/>
    <w:rsid w:val="4082EB5E"/>
    <w:rsid w:val="40841959"/>
    <w:rsid w:val="40936989"/>
    <w:rsid w:val="409F1A4E"/>
    <w:rsid w:val="40B252B6"/>
    <w:rsid w:val="40C22BFB"/>
    <w:rsid w:val="40CF67BD"/>
    <w:rsid w:val="40D5685D"/>
    <w:rsid w:val="40D646BC"/>
    <w:rsid w:val="40DBAC1C"/>
    <w:rsid w:val="40E57E8F"/>
    <w:rsid w:val="40E8AFAC"/>
    <w:rsid w:val="410B1C88"/>
    <w:rsid w:val="411B110B"/>
    <w:rsid w:val="411D3388"/>
    <w:rsid w:val="41200900"/>
    <w:rsid w:val="41202D43"/>
    <w:rsid w:val="412288BA"/>
    <w:rsid w:val="412807B1"/>
    <w:rsid w:val="4128CEDA"/>
    <w:rsid w:val="4130F269"/>
    <w:rsid w:val="41380F69"/>
    <w:rsid w:val="413823BF"/>
    <w:rsid w:val="415C9416"/>
    <w:rsid w:val="4163A6CB"/>
    <w:rsid w:val="418DAC4B"/>
    <w:rsid w:val="418F4EAA"/>
    <w:rsid w:val="41903137"/>
    <w:rsid w:val="41B075C2"/>
    <w:rsid w:val="41B10DBD"/>
    <w:rsid w:val="41D36220"/>
    <w:rsid w:val="41D46C22"/>
    <w:rsid w:val="41D8E393"/>
    <w:rsid w:val="41E71114"/>
    <w:rsid w:val="41EA6A27"/>
    <w:rsid w:val="41ED4E05"/>
    <w:rsid w:val="41F658AB"/>
    <w:rsid w:val="42099D24"/>
    <w:rsid w:val="4222852B"/>
    <w:rsid w:val="422306B7"/>
    <w:rsid w:val="4223FFED"/>
    <w:rsid w:val="4224515C"/>
    <w:rsid w:val="423E8E44"/>
    <w:rsid w:val="4241EB9B"/>
    <w:rsid w:val="424E2317"/>
    <w:rsid w:val="424F9613"/>
    <w:rsid w:val="425C4209"/>
    <w:rsid w:val="4262FC83"/>
    <w:rsid w:val="4265571B"/>
    <w:rsid w:val="4265C8C3"/>
    <w:rsid w:val="4275E22F"/>
    <w:rsid w:val="428CF1D9"/>
    <w:rsid w:val="42A86641"/>
    <w:rsid w:val="42AEEBC8"/>
    <w:rsid w:val="42B0ACE5"/>
    <w:rsid w:val="42B278C4"/>
    <w:rsid w:val="42C41C5B"/>
    <w:rsid w:val="42C6D9D2"/>
    <w:rsid w:val="42CD75C1"/>
    <w:rsid w:val="42E3463B"/>
    <w:rsid w:val="42E410E3"/>
    <w:rsid w:val="42F309B9"/>
    <w:rsid w:val="42F90C46"/>
    <w:rsid w:val="42FCF64D"/>
    <w:rsid w:val="4302F476"/>
    <w:rsid w:val="4318D7D2"/>
    <w:rsid w:val="4319AF6F"/>
    <w:rsid w:val="4329CC5F"/>
    <w:rsid w:val="4335A19F"/>
    <w:rsid w:val="433A32BE"/>
    <w:rsid w:val="438A9F37"/>
    <w:rsid w:val="43913964"/>
    <w:rsid w:val="43B5A4D0"/>
    <w:rsid w:val="43CA4F21"/>
    <w:rsid w:val="43CF3D7F"/>
    <w:rsid w:val="43EA8DC9"/>
    <w:rsid w:val="44034B76"/>
    <w:rsid w:val="440DF58E"/>
    <w:rsid w:val="4416C349"/>
    <w:rsid w:val="44260B89"/>
    <w:rsid w:val="442F7B3C"/>
    <w:rsid w:val="44431B44"/>
    <w:rsid w:val="444B713D"/>
    <w:rsid w:val="4489B7B4"/>
    <w:rsid w:val="44A2B8CA"/>
    <w:rsid w:val="44A2E100"/>
    <w:rsid w:val="44C65E42"/>
    <w:rsid w:val="44D7AB95"/>
    <w:rsid w:val="44E065BF"/>
    <w:rsid w:val="44E6FD59"/>
    <w:rsid w:val="44F76C2C"/>
    <w:rsid w:val="44F80B81"/>
    <w:rsid w:val="44FB5D13"/>
    <w:rsid w:val="44FC6997"/>
    <w:rsid w:val="4500E74F"/>
    <w:rsid w:val="4516A2F6"/>
    <w:rsid w:val="451E890D"/>
    <w:rsid w:val="45227E46"/>
    <w:rsid w:val="452455FC"/>
    <w:rsid w:val="452DF115"/>
    <w:rsid w:val="456429A1"/>
    <w:rsid w:val="4585C3D9"/>
    <w:rsid w:val="45C130E8"/>
    <w:rsid w:val="45C1DBEA"/>
    <w:rsid w:val="45E73296"/>
    <w:rsid w:val="45FEFC5A"/>
    <w:rsid w:val="45FF52CD"/>
    <w:rsid w:val="460230BC"/>
    <w:rsid w:val="46188790"/>
    <w:rsid w:val="462548AC"/>
    <w:rsid w:val="462DC9D4"/>
    <w:rsid w:val="4638AB69"/>
    <w:rsid w:val="463A3A80"/>
    <w:rsid w:val="4642DD37"/>
    <w:rsid w:val="465D831F"/>
    <w:rsid w:val="46652375"/>
    <w:rsid w:val="467BEA38"/>
    <w:rsid w:val="467E4494"/>
    <w:rsid w:val="469409B7"/>
    <w:rsid w:val="469CBA58"/>
    <w:rsid w:val="46B3FF86"/>
    <w:rsid w:val="46B5CEC8"/>
    <w:rsid w:val="46BD56D9"/>
    <w:rsid w:val="46C5D15C"/>
    <w:rsid w:val="46D05A97"/>
    <w:rsid w:val="46D8146C"/>
    <w:rsid w:val="46DBFEF4"/>
    <w:rsid w:val="46E41663"/>
    <w:rsid w:val="46E455C1"/>
    <w:rsid w:val="46E795F2"/>
    <w:rsid w:val="46F00256"/>
    <w:rsid w:val="46F4B90E"/>
    <w:rsid w:val="4700730C"/>
    <w:rsid w:val="470BF708"/>
    <w:rsid w:val="470F1A47"/>
    <w:rsid w:val="473E35F0"/>
    <w:rsid w:val="4749CC01"/>
    <w:rsid w:val="474D471E"/>
    <w:rsid w:val="47535262"/>
    <w:rsid w:val="476C5D18"/>
    <w:rsid w:val="4776F12B"/>
    <w:rsid w:val="4786F864"/>
    <w:rsid w:val="478A62B9"/>
    <w:rsid w:val="47A5A4BD"/>
    <w:rsid w:val="47ABCE60"/>
    <w:rsid w:val="47C6FB89"/>
    <w:rsid w:val="47D0F830"/>
    <w:rsid w:val="47D66ADC"/>
    <w:rsid w:val="47FC4221"/>
    <w:rsid w:val="4816BD22"/>
    <w:rsid w:val="4829287A"/>
    <w:rsid w:val="4830B774"/>
    <w:rsid w:val="4841C703"/>
    <w:rsid w:val="484EC3E4"/>
    <w:rsid w:val="485560AB"/>
    <w:rsid w:val="4858CB17"/>
    <w:rsid w:val="485F9FC9"/>
    <w:rsid w:val="4866F4D5"/>
    <w:rsid w:val="486B822A"/>
    <w:rsid w:val="4871E041"/>
    <w:rsid w:val="48727E5E"/>
    <w:rsid w:val="4878DF1C"/>
    <w:rsid w:val="4888060A"/>
    <w:rsid w:val="488956B8"/>
    <w:rsid w:val="489ACE76"/>
    <w:rsid w:val="48A54946"/>
    <w:rsid w:val="48A67138"/>
    <w:rsid w:val="48AF7246"/>
    <w:rsid w:val="48C3186A"/>
    <w:rsid w:val="48C5001B"/>
    <w:rsid w:val="48C771D0"/>
    <w:rsid w:val="48C8F310"/>
    <w:rsid w:val="48CC38CE"/>
    <w:rsid w:val="48CD4679"/>
    <w:rsid w:val="48CEAEAC"/>
    <w:rsid w:val="48DB2CC8"/>
    <w:rsid w:val="48EE22C8"/>
    <w:rsid w:val="48F30F82"/>
    <w:rsid w:val="48F9930A"/>
    <w:rsid w:val="48FAEF47"/>
    <w:rsid w:val="48FB6BA7"/>
    <w:rsid w:val="4901F728"/>
    <w:rsid w:val="490411B5"/>
    <w:rsid w:val="4909DBA1"/>
    <w:rsid w:val="491886F6"/>
    <w:rsid w:val="4925E387"/>
    <w:rsid w:val="4928A101"/>
    <w:rsid w:val="4944125A"/>
    <w:rsid w:val="494FABFC"/>
    <w:rsid w:val="49511FA5"/>
    <w:rsid w:val="4954482C"/>
    <w:rsid w:val="495FFB9A"/>
    <w:rsid w:val="49611E5E"/>
    <w:rsid w:val="4965DC1A"/>
    <w:rsid w:val="496EB141"/>
    <w:rsid w:val="4972BD8D"/>
    <w:rsid w:val="498067C4"/>
    <w:rsid w:val="49850F68"/>
    <w:rsid w:val="4992A0A8"/>
    <w:rsid w:val="49B8EF7C"/>
    <w:rsid w:val="49B923C9"/>
    <w:rsid w:val="49DA3658"/>
    <w:rsid w:val="49DE6BBF"/>
    <w:rsid w:val="4A10E3B7"/>
    <w:rsid w:val="4A13EAC4"/>
    <w:rsid w:val="4A1CDC15"/>
    <w:rsid w:val="4A28603D"/>
    <w:rsid w:val="4A2F50EE"/>
    <w:rsid w:val="4A3CF98E"/>
    <w:rsid w:val="4A3E223F"/>
    <w:rsid w:val="4A4FE5E4"/>
    <w:rsid w:val="4A54C19A"/>
    <w:rsid w:val="4A664F27"/>
    <w:rsid w:val="4A694A14"/>
    <w:rsid w:val="4A7C77C8"/>
    <w:rsid w:val="4A7C8B22"/>
    <w:rsid w:val="4A86A644"/>
    <w:rsid w:val="4A951BDE"/>
    <w:rsid w:val="4AA32712"/>
    <w:rsid w:val="4AABBF95"/>
    <w:rsid w:val="4AC585C9"/>
    <w:rsid w:val="4ACAE1CF"/>
    <w:rsid w:val="4ADD4378"/>
    <w:rsid w:val="4AF26F56"/>
    <w:rsid w:val="4AF773E3"/>
    <w:rsid w:val="4B0CC794"/>
    <w:rsid w:val="4B1052EC"/>
    <w:rsid w:val="4B229845"/>
    <w:rsid w:val="4B238732"/>
    <w:rsid w:val="4B263BAD"/>
    <w:rsid w:val="4B28244E"/>
    <w:rsid w:val="4B2E500F"/>
    <w:rsid w:val="4B32F692"/>
    <w:rsid w:val="4B41E534"/>
    <w:rsid w:val="4B4599A0"/>
    <w:rsid w:val="4B4A0899"/>
    <w:rsid w:val="4B533997"/>
    <w:rsid w:val="4B54B020"/>
    <w:rsid w:val="4B64AC38"/>
    <w:rsid w:val="4B7198B5"/>
    <w:rsid w:val="4B868C4C"/>
    <w:rsid w:val="4B8EDFB7"/>
    <w:rsid w:val="4B90648D"/>
    <w:rsid w:val="4BA6FBC2"/>
    <w:rsid w:val="4BCA7BB3"/>
    <w:rsid w:val="4BCDE257"/>
    <w:rsid w:val="4BD331B5"/>
    <w:rsid w:val="4BD8FFF2"/>
    <w:rsid w:val="4BDCEE6A"/>
    <w:rsid w:val="4BE572F6"/>
    <w:rsid w:val="4BE6DAB9"/>
    <w:rsid w:val="4BF6AAFC"/>
    <w:rsid w:val="4C055501"/>
    <w:rsid w:val="4C1CDEB9"/>
    <w:rsid w:val="4C215CC9"/>
    <w:rsid w:val="4C216D16"/>
    <w:rsid w:val="4C3729BD"/>
    <w:rsid w:val="4C40334F"/>
    <w:rsid w:val="4C4159D0"/>
    <w:rsid w:val="4C54FDA0"/>
    <w:rsid w:val="4C817A59"/>
    <w:rsid w:val="4CBDE505"/>
    <w:rsid w:val="4CC24DE6"/>
    <w:rsid w:val="4CCC75FC"/>
    <w:rsid w:val="4CCE6DF5"/>
    <w:rsid w:val="4CD391A2"/>
    <w:rsid w:val="4CE628A3"/>
    <w:rsid w:val="4CF28B19"/>
    <w:rsid w:val="4CF56139"/>
    <w:rsid w:val="4D266219"/>
    <w:rsid w:val="4D424EA7"/>
    <w:rsid w:val="4D53ABDC"/>
    <w:rsid w:val="4D64F846"/>
    <w:rsid w:val="4D6FE095"/>
    <w:rsid w:val="4D909E23"/>
    <w:rsid w:val="4DAE468F"/>
    <w:rsid w:val="4DB5710F"/>
    <w:rsid w:val="4DBB35B3"/>
    <w:rsid w:val="4DC49C4C"/>
    <w:rsid w:val="4DC7D900"/>
    <w:rsid w:val="4DCEF01F"/>
    <w:rsid w:val="4DD1A0CA"/>
    <w:rsid w:val="4DE81E0A"/>
    <w:rsid w:val="4DF022A6"/>
    <w:rsid w:val="4DF921D4"/>
    <w:rsid w:val="4E0CFC08"/>
    <w:rsid w:val="4E0EA10A"/>
    <w:rsid w:val="4E0ED56F"/>
    <w:rsid w:val="4E1815EE"/>
    <w:rsid w:val="4E2A1894"/>
    <w:rsid w:val="4E2A821A"/>
    <w:rsid w:val="4E2D584E"/>
    <w:rsid w:val="4E2EEBDA"/>
    <w:rsid w:val="4E3235F2"/>
    <w:rsid w:val="4E357E04"/>
    <w:rsid w:val="4E46F683"/>
    <w:rsid w:val="4E47A1D5"/>
    <w:rsid w:val="4E47A1D9"/>
    <w:rsid w:val="4E5428AF"/>
    <w:rsid w:val="4E632719"/>
    <w:rsid w:val="4E64D396"/>
    <w:rsid w:val="4E6B9547"/>
    <w:rsid w:val="4E7061F8"/>
    <w:rsid w:val="4E75ACE1"/>
    <w:rsid w:val="4E78A0FE"/>
    <w:rsid w:val="4E7998D6"/>
    <w:rsid w:val="4E948CC6"/>
    <w:rsid w:val="4E9D638F"/>
    <w:rsid w:val="4EA395D6"/>
    <w:rsid w:val="4EADA5B1"/>
    <w:rsid w:val="4ECC76A8"/>
    <w:rsid w:val="4ED8C7F4"/>
    <w:rsid w:val="4EE46FF1"/>
    <w:rsid w:val="4EE8FF54"/>
    <w:rsid w:val="4EE9A6A2"/>
    <w:rsid w:val="4EEFA059"/>
    <w:rsid w:val="4EFA491C"/>
    <w:rsid w:val="4EFBABC2"/>
    <w:rsid w:val="4EFBF3A0"/>
    <w:rsid w:val="4F0204A8"/>
    <w:rsid w:val="4F047F43"/>
    <w:rsid w:val="4F09F4C8"/>
    <w:rsid w:val="4F22BB6B"/>
    <w:rsid w:val="4F27CD2E"/>
    <w:rsid w:val="4F362575"/>
    <w:rsid w:val="4F44088B"/>
    <w:rsid w:val="4F46C06F"/>
    <w:rsid w:val="4F4A11BB"/>
    <w:rsid w:val="4F4E89D6"/>
    <w:rsid w:val="4F4EEA93"/>
    <w:rsid w:val="4F6A807E"/>
    <w:rsid w:val="4F6B59C9"/>
    <w:rsid w:val="4F74BC1F"/>
    <w:rsid w:val="4F80E75C"/>
    <w:rsid w:val="4F9C729A"/>
    <w:rsid w:val="4FA5D279"/>
    <w:rsid w:val="4FA5F0FA"/>
    <w:rsid w:val="4FA915AD"/>
    <w:rsid w:val="4FC4E629"/>
    <w:rsid w:val="4FE680EF"/>
    <w:rsid w:val="4FF0A20D"/>
    <w:rsid w:val="500009AE"/>
    <w:rsid w:val="5001AE44"/>
    <w:rsid w:val="50050450"/>
    <w:rsid w:val="5007DE6A"/>
    <w:rsid w:val="500A46C6"/>
    <w:rsid w:val="5014946A"/>
    <w:rsid w:val="501B3E97"/>
    <w:rsid w:val="5027B46C"/>
    <w:rsid w:val="5029BFE6"/>
    <w:rsid w:val="503F8953"/>
    <w:rsid w:val="503FE7D7"/>
    <w:rsid w:val="50422711"/>
    <w:rsid w:val="50434FB7"/>
    <w:rsid w:val="504F5446"/>
    <w:rsid w:val="50682A0D"/>
    <w:rsid w:val="506C8272"/>
    <w:rsid w:val="5071122B"/>
    <w:rsid w:val="507AE3B2"/>
    <w:rsid w:val="508467F7"/>
    <w:rsid w:val="5086C6A6"/>
    <w:rsid w:val="50A997F0"/>
    <w:rsid w:val="50BD8085"/>
    <w:rsid w:val="50C62518"/>
    <w:rsid w:val="50E8BEBC"/>
    <w:rsid w:val="50F8D38F"/>
    <w:rsid w:val="511CCA1D"/>
    <w:rsid w:val="51236F92"/>
    <w:rsid w:val="5124305C"/>
    <w:rsid w:val="512E6437"/>
    <w:rsid w:val="5130C296"/>
    <w:rsid w:val="51383AEB"/>
    <w:rsid w:val="513DDCFD"/>
    <w:rsid w:val="51410F8F"/>
    <w:rsid w:val="51443AC1"/>
    <w:rsid w:val="514EA466"/>
    <w:rsid w:val="514FB6B0"/>
    <w:rsid w:val="5159F60E"/>
    <w:rsid w:val="515A9893"/>
    <w:rsid w:val="51620882"/>
    <w:rsid w:val="5173CBD2"/>
    <w:rsid w:val="51780127"/>
    <w:rsid w:val="518B5FA9"/>
    <w:rsid w:val="518CA01C"/>
    <w:rsid w:val="51A8C633"/>
    <w:rsid w:val="51B97A7B"/>
    <w:rsid w:val="51D31AF5"/>
    <w:rsid w:val="51D7A091"/>
    <w:rsid w:val="51DAA752"/>
    <w:rsid w:val="51E824CF"/>
    <w:rsid w:val="520A5681"/>
    <w:rsid w:val="520C7ED5"/>
    <w:rsid w:val="521DA191"/>
    <w:rsid w:val="52224F16"/>
    <w:rsid w:val="52253C26"/>
    <w:rsid w:val="522F0278"/>
    <w:rsid w:val="523164CF"/>
    <w:rsid w:val="52326BD0"/>
    <w:rsid w:val="523796E3"/>
    <w:rsid w:val="5245C36F"/>
    <w:rsid w:val="5265AB15"/>
    <w:rsid w:val="526831F9"/>
    <w:rsid w:val="527BF11A"/>
    <w:rsid w:val="527CE592"/>
    <w:rsid w:val="527D521D"/>
    <w:rsid w:val="5291ABC4"/>
    <w:rsid w:val="52A09EB0"/>
    <w:rsid w:val="52A636AF"/>
    <w:rsid w:val="52ADA852"/>
    <w:rsid w:val="52AFD703"/>
    <w:rsid w:val="52B3C580"/>
    <w:rsid w:val="52C88786"/>
    <w:rsid w:val="52EA74C7"/>
    <w:rsid w:val="52F16BBD"/>
    <w:rsid w:val="53062D91"/>
    <w:rsid w:val="530EECF9"/>
    <w:rsid w:val="53251E68"/>
    <w:rsid w:val="533319A6"/>
    <w:rsid w:val="5340A447"/>
    <w:rsid w:val="535B7576"/>
    <w:rsid w:val="5364BBEB"/>
    <w:rsid w:val="5365718A"/>
    <w:rsid w:val="53693EE9"/>
    <w:rsid w:val="5371AEA9"/>
    <w:rsid w:val="5371E17A"/>
    <w:rsid w:val="537B1AFA"/>
    <w:rsid w:val="5384E01A"/>
    <w:rsid w:val="538B2D6F"/>
    <w:rsid w:val="538E145B"/>
    <w:rsid w:val="53938E1B"/>
    <w:rsid w:val="53B3E1FD"/>
    <w:rsid w:val="53CDA33A"/>
    <w:rsid w:val="53E1D2E4"/>
    <w:rsid w:val="53F73F2A"/>
    <w:rsid w:val="53FC269D"/>
    <w:rsid w:val="53FFA578"/>
    <w:rsid w:val="5404514A"/>
    <w:rsid w:val="540F0AAC"/>
    <w:rsid w:val="54188BE2"/>
    <w:rsid w:val="54190450"/>
    <w:rsid w:val="541C5EC5"/>
    <w:rsid w:val="5428BE3B"/>
    <w:rsid w:val="542C6E46"/>
    <w:rsid w:val="54356296"/>
    <w:rsid w:val="543D5D02"/>
    <w:rsid w:val="5445504C"/>
    <w:rsid w:val="547D34CB"/>
    <w:rsid w:val="54A8987C"/>
    <w:rsid w:val="54AA440D"/>
    <w:rsid w:val="54AC8BC0"/>
    <w:rsid w:val="54B20FE6"/>
    <w:rsid w:val="54B94582"/>
    <w:rsid w:val="54C5EC4A"/>
    <w:rsid w:val="54DCD718"/>
    <w:rsid w:val="54E0406A"/>
    <w:rsid w:val="54E9DFFB"/>
    <w:rsid w:val="54EB9CF8"/>
    <w:rsid w:val="54F1583F"/>
    <w:rsid w:val="54F1A63B"/>
    <w:rsid w:val="54F8D4E7"/>
    <w:rsid w:val="54FA5E2B"/>
    <w:rsid w:val="54FAFB05"/>
    <w:rsid w:val="54FF0AC4"/>
    <w:rsid w:val="55175E82"/>
    <w:rsid w:val="5534562D"/>
    <w:rsid w:val="554054DB"/>
    <w:rsid w:val="5543C6BE"/>
    <w:rsid w:val="5548AC79"/>
    <w:rsid w:val="5549F8D6"/>
    <w:rsid w:val="554AE708"/>
    <w:rsid w:val="554C8134"/>
    <w:rsid w:val="5552D0BF"/>
    <w:rsid w:val="555576BF"/>
    <w:rsid w:val="556DE406"/>
    <w:rsid w:val="55AA94C6"/>
    <w:rsid w:val="55BB6C54"/>
    <w:rsid w:val="55BBC7D8"/>
    <w:rsid w:val="55CA1D49"/>
    <w:rsid w:val="55CD1192"/>
    <w:rsid w:val="55CD6279"/>
    <w:rsid w:val="55D219D2"/>
    <w:rsid w:val="55E2562A"/>
    <w:rsid w:val="55E369E3"/>
    <w:rsid w:val="55F1D28E"/>
    <w:rsid w:val="5606A2FF"/>
    <w:rsid w:val="5610CE89"/>
    <w:rsid w:val="56124B10"/>
    <w:rsid w:val="561EA997"/>
    <w:rsid w:val="56219A56"/>
    <w:rsid w:val="56229AA6"/>
    <w:rsid w:val="5629090A"/>
    <w:rsid w:val="563551FF"/>
    <w:rsid w:val="56543110"/>
    <w:rsid w:val="5660CBB4"/>
    <w:rsid w:val="5688B390"/>
    <w:rsid w:val="56972689"/>
    <w:rsid w:val="56A2BB14"/>
    <w:rsid w:val="56ACEB4D"/>
    <w:rsid w:val="56AF3277"/>
    <w:rsid w:val="56C6EA53"/>
    <w:rsid w:val="56D3D93E"/>
    <w:rsid w:val="56D4BAB1"/>
    <w:rsid w:val="56EE7D0B"/>
    <w:rsid w:val="56EEC08D"/>
    <w:rsid w:val="56EFC026"/>
    <w:rsid w:val="56F0E9ED"/>
    <w:rsid w:val="56F7798F"/>
    <w:rsid w:val="56FADDF4"/>
    <w:rsid w:val="56FDABA9"/>
    <w:rsid w:val="571210D1"/>
    <w:rsid w:val="57167167"/>
    <w:rsid w:val="571F1EC2"/>
    <w:rsid w:val="5726128D"/>
    <w:rsid w:val="572A2064"/>
    <w:rsid w:val="57376FF3"/>
    <w:rsid w:val="5739F2EE"/>
    <w:rsid w:val="5748B934"/>
    <w:rsid w:val="5749E457"/>
    <w:rsid w:val="5753AE77"/>
    <w:rsid w:val="576320E0"/>
    <w:rsid w:val="5766A9E4"/>
    <w:rsid w:val="577A8074"/>
    <w:rsid w:val="577A8FC9"/>
    <w:rsid w:val="57A4688E"/>
    <w:rsid w:val="57A5820F"/>
    <w:rsid w:val="57AC5F97"/>
    <w:rsid w:val="57ACA787"/>
    <w:rsid w:val="57AFA973"/>
    <w:rsid w:val="57C91D5A"/>
    <w:rsid w:val="57CCD614"/>
    <w:rsid w:val="57D69792"/>
    <w:rsid w:val="57D9F327"/>
    <w:rsid w:val="57E14ABD"/>
    <w:rsid w:val="57EFF48B"/>
    <w:rsid w:val="57FBFEE5"/>
    <w:rsid w:val="58003953"/>
    <w:rsid w:val="5814901F"/>
    <w:rsid w:val="58170C3B"/>
    <w:rsid w:val="58243956"/>
    <w:rsid w:val="583505DE"/>
    <w:rsid w:val="5855295B"/>
    <w:rsid w:val="58589F4B"/>
    <w:rsid w:val="585FE7F5"/>
    <w:rsid w:val="5893C70D"/>
    <w:rsid w:val="58967320"/>
    <w:rsid w:val="58A9326C"/>
    <w:rsid w:val="58AFD466"/>
    <w:rsid w:val="58B672E5"/>
    <w:rsid w:val="58B97712"/>
    <w:rsid w:val="58D1A447"/>
    <w:rsid w:val="58DBE994"/>
    <w:rsid w:val="58E38710"/>
    <w:rsid w:val="58E4F483"/>
    <w:rsid w:val="590248D9"/>
    <w:rsid w:val="5903A169"/>
    <w:rsid w:val="5907560C"/>
    <w:rsid w:val="5909D1E8"/>
    <w:rsid w:val="5909D956"/>
    <w:rsid w:val="590BDB2B"/>
    <w:rsid w:val="59168D73"/>
    <w:rsid w:val="591CE7BF"/>
    <w:rsid w:val="591E6FC6"/>
    <w:rsid w:val="5923ADC4"/>
    <w:rsid w:val="59242D25"/>
    <w:rsid w:val="5943DA79"/>
    <w:rsid w:val="594C821B"/>
    <w:rsid w:val="594E0938"/>
    <w:rsid w:val="59583338"/>
    <w:rsid w:val="5960DF9D"/>
    <w:rsid w:val="5967D13D"/>
    <w:rsid w:val="5968AC22"/>
    <w:rsid w:val="596F752E"/>
    <w:rsid w:val="59725479"/>
    <w:rsid w:val="598028A5"/>
    <w:rsid w:val="5988B3E0"/>
    <w:rsid w:val="5998F27B"/>
    <w:rsid w:val="59C9DF45"/>
    <w:rsid w:val="59CECD82"/>
    <w:rsid w:val="59E0BBA2"/>
    <w:rsid w:val="59F25EEE"/>
    <w:rsid w:val="59F48F89"/>
    <w:rsid w:val="59FB11CF"/>
    <w:rsid w:val="59FCC365"/>
    <w:rsid w:val="5A002931"/>
    <w:rsid w:val="5A0565B9"/>
    <w:rsid w:val="5A2118B7"/>
    <w:rsid w:val="5A2944E3"/>
    <w:rsid w:val="5A487E6A"/>
    <w:rsid w:val="5A4E4ACA"/>
    <w:rsid w:val="5A50309B"/>
    <w:rsid w:val="5A52210C"/>
    <w:rsid w:val="5A58BDD4"/>
    <w:rsid w:val="5A6265B5"/>
    <w:rsid w:val="5A67AED4"/>
    <w:rsid w:val="5A6E335F"/>
    <w:rsid w:val="5A6E8693"/>
    <w:rsid w:val="5A7316E7"/>
    <w:rsid w:val="5A7C0382"/>
    <w:rsid w:val="5A869A6D"/>
    <w:rsid w:val="5A896FE9"/>
    <w:rsid w:val="5A8B2B71"/>
    <w:rsid w:val="5AB3AA15"/>
    <w:rsid w:val="5ACD1579"/>
    <w:rsid w:val="5AD46C49"/>
    <w:rsid w:val="5ADAAEFA"/>
    <w:rsid w:val="5ADC1F8D"/>
    <w:rsid w:val="5AE5528C"/>
    <w:rsid w:val="5AE8527C"/>
    <w:rsid w:val="5B159E16"/>
    <w:rsid w:val="5B1F3CEE"/>
    <w:rsid w:val="5B223323"/>
    <w:rsid w:val="5B23CBED"/>
    <w:rsid w:val="5B243544"/>
    <w:rsid w:val="5B39B1AE"/>
    <w:rsid w:val="5B3CB22F"/>
    <w:rsid w:val="5B3F3767"/>
    <w:rsid w:val="5B3FE67A"/>
    <w:rsid w:val="5B4128B0"/>
    <w:rsid w:val="5B4385B9"/>
    <w:rsid w:val="5B4E408E"/>
    <w:rsid w:val="5B66725D"/>
    <w:rsid w:val="5B7D9D5F"/>
    <w:rsid w:val="5B7F6140"/>
    <w:rsid w:val="5B8748F1"/>
    <w:rsid w:val="5B8F6B6A"/>
    <w:rsid w:val="5B9E5F59"/>
    <w:rsid w:val="5BABDB1A"/>
    <w:rsid w:val="5BADA41A"/>
    <w:rsid w:val="5BB4C568"/>
    <w:rsid w:val="5BC2CD1E"/>
    <w:rsid w:val="5BCAA3A8"/>
    <w:rsid w:val="5BCAFFC5"/>
    <w:rsid w:val="5BD32A62"/>
    <w:rsid w:val="5BD4151B"/>
    <w:rsid w:val="5C0DE7B9"/>
    <w:rsid w:val="5C1897DF"/>
    <w:rsid w:val="5C31BDBD"/>
    <w:rsid w:val="5C4024A1"/>
    <w:rsid w:val="5C431D65"/>
    <w:rsid w:val="5C52231B"/>
    <w:rsid w:val="5C5900F2"/>
    <w:rsid w:val="5C5D08FE"/>
    <w:rsid w:val="5C65C06F"/>
    <w:rsid w:val="5C6717A1"/>
    <w:rsid w:val="5C699075"/>
    <w:rsid w:val="5C70F351"/>
    <w:rsid w:val="5C8B1EC5"/>
    <w:rsid w:val="5CA40ABC"/>
    <w:rsid w:val="5CA52816"/>
    <w:rsid w:val="5CAB36F8"/>
    <w:rsid w:val="5CC72D67"/>
    <w:rsid w:val="5CD3D425"/>
    <w:rsid w:val="5CD55543"/>
    <w:rsid w:val="5CDF82F8"/>
    <w:rsid w:val="5CE2C583"/>
    <w:rsid w:val="5CE74DA8"/>
    <w:rsid w:val="5CEC25C6"/>
    <w:rsid w:val="5D00D593"/>
    <w:rsid w:val="5D05A121"/>
    <w:rsid w:val="5D147B98"/>
    <w:rsid w:val="5D16D12E"/>
    <w:rsid w:val="5D39001A"/>
    <w:rsid w:val="5D3ED765"/>
    <w:rsid w:val="5D4955C4"/>
    <w:rsid w:val="5D4D1C02"/>
    <w:rsid w:val="5D5D59A3"/>
    <w:rsid w:val="5D63EF16"/>
    <w:rsid w:val="5D71DAD4"/>
    <w:rsid w:val="5D71FF71"/>
    <w:rsid w:val="5D761DCD"/>
    <w:rsid w:val="5D7C09A3"/>
    <w:rsid w:val="5D7DB3DA"/>
    <w:rsid w:val="5D8AE75B"/>
    <w:rsid w:val="5D919D97"/>
    <w:rsid w:val="5DB2138C"/>
    <w:rsid w:val="5DB68D14"/>
    <w:rsid w:val="5DBD4895"/>
    <w:rsid w:val="5DF59475"/>
    <w:rsid w:val="5DF5CBA8"/>
    <w:rsid w:val="5DFB6501"/>
    <w:rsid w:val="5DFC4D05"/>
    <w:rsid w:val="5DFF154E"/>
    <w:rsid w:val="5E0853E0"/>
    <w:rsid w:val="5E157C73"/>
    <w:rsid w:val="5E16A025"/>
    <w:rsid w:val="5E26EE18"/>
    <w:rsid w:val="5E292F93"/>
    <w:rsid w:val="5E422FA5"/>
    <w:rsid w:val="5E4E81B4"/>
    <w:rsid w:val="5E58C4B0"/>
    <w:rsid w:val="5E641AE0"/>
    <w:rsid w:val="5E716910"/>
    <w:rsid w:val="5E78C949"/>
    <w:rsid w:val="5E800E4B"/>
    <w:rsid w:val="5E9A1D23"/>
    <w:rsid w:val="5E9C5D4B"/>
    <w:rsid w:val="5EAAEDCF"/>
    <w:rsid w:val="5EAB9F72"/>
    <w:rsid w:val="5EBAFD23"/>
    <w:rsid w:val="5EBB4FF5"/>
    <w:rsid w:val="5ED1F011"/>
    <w:rsid w:val="5ED3ED97"/>
    <w:rsid w:val="5EEE29AE"/>
    <w:rsid w:val="5F0D2C9B"/>
    <w:rsid w:val="5F17DDCA"/>
    <w:rsid w:val="5F1D26B9"/>
    <w:rsid w:val="5F1E451B"/>
    <w:rsid w:val="5F2C2EF7"/>
    <w:rsid w:val="5F324ACE"/>
    <w:rsid w:val="5F36B080"/>
    <w:rsid w:val="5F3D48F0"/>
    <w:rsid w:val="5F44A0F9"/>
    <w:rsid w:val="5F50F0C9"/>
    <w:rsid w:val="5F52F1FF"/>
    <w:rsid w:val="5F55286C"/>
    <w:rsid w:val="5F60E5CE"/>
    <w:rsid w:val="5F63B232"/>
    <w:rsid w:val="5F6C9B75"/>
    <w:rsid w:val="5F6D8D78"/>
    <w:rsid w:val="5F74FF04"/>
    <w:rsid w:val="5F781FDD"/>
    <w:rsid w:val="5F78C54E"/>
    <w:rsid w:val="5F799463"/>
    <w:rsid w:val="5F7CBB77"/>
    <w:rsid w:val="5F85F394"/>
    <w:rsid w:val="5F86F7BF"/>
    <w:rsid w:val="5F8CD4FF"/>
    <w:rsid w:val="5F9BF83F"/>
    <w:rsid w:val="5F9E704B"/>
    <w:rsid w:val="5FA57F6A"/>
    <w:rsid w:val="5FAC4119"/>
    <w:rsid w:val="5FB654C5"/>
    <w:rsid w:val="5FBDD245"/>
    <w:rsid w:val="5FE7B63E"/>
    <w:rsid w:val="5FF4E7DB"/>
    <w:rsid w:val="600767F3"/>
    <w:rsid w:val="6017DDDC"/>
    <w:rsid w:val="601B0F91"/>
    <w:rsid w:val="6025F893"/>
    <w:rsid w:val="6026D5C4"/>
    <w:rsid w:val="60311748"/>
    <w:rsid w:val="60406A07"/>
    <w:rsid w:val="604728A3"/>
    <w:rsid w:val="60505F50"/>
    <w:rsid w:val="6052B93E"/>
    <w:rsid w:val="606452E0"/>
    <w:rsid w:val="606691F0"/>
    <w:rsid w:val="60882285"/>
    <w:rsid w:val="608E4FEE"/>
    <w:rsid w:val="608EA914"/>
    <w:rsid w:val="6099C747"/>
    <w:rsid w:val="60AD4597"/>
    <w:rsid w:val="60B1B602"/>
    <w:rsid w:val="60B21CBF"/>
    <w:rsid w:val="60BDE347"/>
    <w:rsid w:val="60C5CABE"/>
    <w:rsid w:val="60CD281C"/>
    <w:rsid w:val="60CF9C0A"/>
    <w:rsid w:val="60D9660C"/>
    <w:rsid w:val="60E6F4E2"/>
    <w:rsid w:val="60E788D4"/>
    <w:rsid w:val="60EDE6F2"/>
    <w:rsid w:val="60F74AEF"/>
    <w:rsid w:val="60F7E688"/>
    <w:rsid w:val="60FF09B7"/>
    <w:rsid w:val="6114E242"/>
    <w:rsid w:val="6120AFF4"/>
    <w:rsid w:val="6126086D"/>
    <w:rsid w:val="61276157"/>
    <w:rsid w:val="612B262A"/>
    <w:rsid w:val="613B0288"/>
    <w:rsid w:val="61511F9A"/>
    <w:rsid w:val="6157FB33"/>
    <w:rsid w:val="615D71EE"/>
    <w:rsid w:val="6169A9EE"/>
    <w:rsid w:val="616C9A6C"/>
    <w:rsid w:val="6174C0D2"/>
    <w:rsid w:val="6199AAF9"/>
    <w:rsid w:val="61AF1C1D"/>
    <w:rsid w:val="61B41836"/>
    <w:rsid w:val="61C1E3E7"/>
    <w:rsid w:val="61C9CD8B"/>
    <w:rsid w:val="61D88390"/>
    <w:rsid w:val="6217D87F"/>
    <w:rsid w:val="622230A1"/>
    <w:rsid w:val="62234106"/>
    <w:rsid w:val="622992B7"/>
    <w:rsid w:val="622E4DE3"/>
    <w:rsid w:val="623644B2"/>
    <w:rsid w:val="62540815"/>
    <w:rsid w:val="625D0865"/>
    <w:rsid w:val="6260A816"/>
    <w:rsid w:val="626984CA"/>
    <w:rsid w:val="62851BB6"/>
    <w:rsid w:val="6292E307"/>
    <w:rsid w:val="62943DD6"/>
    <w:rsid w:val="62A24F65"/>
    <w:rsid w:val="62A416A6"/>
    <w:rsid w:val="62AD7A90"/>
    <w:rsid w:val="62DCF61E"/>
    <w:rsid w:val="62E27988"/>
    <w:rsid w:val="62F1BA1E"/>
    <w:rsid w:val="630F6261"/>
    <w:rsid w:val="6315BA89"/>
    <w:rsid w:val="631ADAE6"/>
    <w:rsid w:val="63214846"/>
    <w:rsid w:val="633E37CC"/>
    <w:rsid w:val="634D4111"/>
    <w:rsid w:val="63515B72"/>
    <w:rsid w:val="63598BD4"/>
    <w:rsid w:val="6359FFEF"/>
    <w:rsid w:val="635C5E4F"/>
    <w:rsid w:val="63745361"/>
    <w:rsid w:val="6391E999"/>
    <w:rsid w:val="63BD4E2C"/>
    <w:rsid w:val="63C964CB"/>
    <w:rsid w:val="63CB1DEB"/>
    <w:rsid w:val="63D23511"/>
    <w:rsid w:val="63D31687"/>
    <w:rsid w:val="63E19EAB"/>
    <w:rsid w:val="63E9AB68"/>
    <w:rsid w:val="63F31C10"/>
    <w:rsid w:val="63F3FA6C"/>
    <w:rsid w:val="63F60683"/>
    <w:rsid w:val="6400E101"/>
    <w:rsid w:val="64381E9B"/>
    <w:rsid w:val="643B0604"/>
    <w:rsid w:val="643BEF12"/>
    <w:rsid w:val="6455B162"/>
    <w:rsid w:val="645B7AA3"/>
    <w:rsid w:val="6473D85C"/>
    <w:rsid w:val="6483E15E"/>
    <w:rsid w:val="649C4A90"/>
    <w:rsid w:val="649FFE32"/>
    <w:rsid w:val="64A1F03C"/>
    <w:rsid w:val="64B1A583"/>
    <w:rsid w:val="64B4CB93"/>
    <w:rsid w:val="64B7177B"/>
    <w:rsid w:val="64BA82D0"/>
    <w:rsid w:val="64BD53D0"/>
    <w:rsid w:val="64C80634"/>
    <w:rsid w:val="64CA2331"/>
    <w:rsid w:val="64E208DA"/>
    <w:rsid w:val="64FA420C"/>
    <w:rsid w:val="64FDB954"/>
    <w:rsid w:val="64FF343B"/>
    <w:rsid w:val="650461F1"/>
    <w:rsid w:val="650C2078"/>
    <w:rsid w:val="650D8A3C"/>
    <w:rsid w:val="650E709A"/>
    <w:rsid w:val="6514EDA1"/>
    <w:rsid w:val="652AC1CC"/>
    <w:rsid w:val="652FAE75"/>
    <w:rsid w:val="6539741A"/>
    <w:rsid w:val="655037BC"/>
    <w:rsid w:val="65511E1E"/>
    <w:rsid w:val="6558DDBA"/>
    <w:rsid w:val="655AA3F5"/>
    <w:rsid w:val="655BEABD"/>
    <w:rsid w:val="657D1D6C"/>
    <w:rsid w:val="6583C91F"/>
    <w:rsid w:val="6585C5EF"/>
    <w:rsid w:val="65966273"/>
    <w:rsid w:val="659A6757"/>
    <w:rsid w:val="65B110A2"/>
    <w:rsid w:val="65D0353E"/>
    <w:rsid w:val="65D70D04"/>
    <w:rsid w:val="65D952DF"/>
    <w:rsid w:val="65E81359"/>
    <w:rsid w:val="65EEAAF9"/>
    <w:rsid w:val="65FB5AA6"/>
    <w:rsid w:val="65FBE0A3"/>
    <w:rsid w:val="6601FCF2"/>
    <w:rsid w:val="66182723"/>
    <w:rsid w:val="661D7893"/>
    <w:rsid w:val="66203158"/>
    <w:rsid w:val="66228853"/>
    <w:rsid w:val="662607EF"/>
    <w:rsid w:val="662ACD98"/>
    <w:rsid w:val="6633FE8A"/>
    <w:rsid w:val="66366281"/>
    <w:rsid w:val="663663FC"/>
    <w:rsid w:val="663AC706"/>
    <w:rsid w:val="666478E1"/>
    <w:rsid w:val="66880753"/>
    <w:rsid w:val="668D5A70"/>
    <w:rsid w:val="66A3E3AB"/>
    <w:rsid w:val="66A4403D"/>
    <w:rsid w:val="66AC0AA8"/>
    <w:rsid w:val="66B02E4F"/>
    <w:rsid w:val="66CADF00"/>
    <w:rsid w:val="66EBC415"/>
    <w:rsid w:val="66F0A4C0"/>
    <w:rsid w:val="66F954C5"/>
    <w:rsid w:val="67028FA8"/>
    <w:rsid w:val="6707B3CB"/>
    <w:rsid w:val="67089AC3"/>
    <w:rsid w:val="670CEDDD"/>
    <w:rsid w:val="671DBFD9"/>
    <w:rsid w:val="672208F3"/>
    <w:rsid w:val="674EB90A"/>
    <w:rsid w:val="6752DD42"/>
    <w:rsid w:val="676F23F2"/>
    <w:rsid w:val="6775A1E0"/>
    <w:rsid w:val="67806B68"/>
    <w:rsid w:val="6790877B"/>
    <w:rsid w:val="6797927E"/>
    <w:rsid w:val="67A2F403"/>
    <w:rsid w:val="67ACEE80"/>
    <w:rsid w:val="67B2F104"/>
    <w:rsid w:val="67BBF3A1"/>
    <w:rsid w:val="67C456EF"/>
    <w:rsid w:val="67C48FB2"/>
    <w:rsid w:val="67C8EED3"/>
    <w:rsid w:val="67D2E6DD"/>
    <w:rsid w:val="67E6F4F4"/>
    <w:rsid w:val="6805481A"/>
    <w:rsid w:val="68062CFF"/>
    <w:rsid w:val="681346AD"/>
    <w:rsid w:val="6816C8E0"/>
    <w:rsid w:val="68267FEF"/>
    <w:rsid w:val="682B1A96"/>
    <w:rsid w:val="68353D3C"/>
    <w:rsid w:val="6839BF7C"/>
    <w:rsid w:val="683D1EF2"/>
    <w:rsid w:val="684169AC"/>
    <w:rsid w:val="6841A220"/>
    <w:rsid w:val="68511B73"/>
    <w:rsid w:val="68594FC0"/>
    <w:rsid w:val="6863C888"/>
    <w:rsid w:val="6870C507"/>
    <w:rsid w:val="6880E5E7"/>
    <w:rsid w:val="688D3684"/>
    <w:rsid w:val="6896FED6"/>
    <w:rsid w:val="68985B49"/>
    <w:rsid w:val="68A2D0E7"/>
    <w:rsid w:val="68BE03FE"/>
    <w:rsid w:val="68E04D00"/>
    <w:rsid w:val="6907EF09"/>
    <w:rsid w:val="6916E5C8"/>
    <w:rsid w:val="691784E7"/>
    <w:rsid w:val="69219735"/>
    <w:rsid w:val="69295C58"/>
    <w:rsid w:val="692AB622"/>
    <w:rsid w:val="694FFDDD"/>
    <w:rsid w:val="69598D40"/>
    <w:rsid w:val="6962A5E5"/>
    <w:rsid w:val="6968C81B"/>
    <w:rsid w:val="696EF4B5"/>
    <w:rsid w:val="6971F1FB"/>
    <w:rsid w:val="69785522"/>
    <w:rsid w:val="697F457C"/>
    <w:rsid w:val="698C9C40"/>
    <w:rsid w:val="698DF97B"/>
    <w:rsid w:val="699C8640"/>
    <w:rsid w:val="69A33799"/>
    <w:rsid w:val="69B220DD"/>
    <w:rsid w:val="69B6EDDB"/>
    <w:rsid w:val="69C28FF3"/>
    <w:rsid w:val="69CAC8FE"/>
    <w:rsid w:val="69D6FBDB"/>
    <w:rsid w:val="69DE8786"/>
    <w:rsid w:val="69E2C4F9"/>
    <w:rsid w:val="69F7C776"/>
    <w:rsid w:val="6A03A5D2"/>
    <w:rsid w:val="6A09C40A"/>
    <w:rsid w:val="6A22A55F"/>
    <w:rsid w:val="6A290FB2"/>
    <w:rsid w:val="6A40D840"/>
    <w:rsid w:val="6A40EA24"/>
    <w:rsid w:val="6A494174"/>
    <w:rsid w:val="6A4FEE3E"/>
    <w:rsid w:val="6A5222CA"/>
    <w:rsid w:val="6A6F4B18"/>
    <w:rsid w:val="6A723CD2"/>
    <w:rsid w:val="6A7FA365"/>
    <w:rsid w:val="6AA201CD"/>
    <w:rsid w:val="6AA7A62F"/>
    <w:rsid w:val="6AACE02C"/>
    <w:rsid w:val="6ABB86FF"/>
    <w:rsid w:val="6AD504BB"/>
    <w:rsid w:val="6AE5923D"/>
    <w:rsid w:val="6AE9641A"/>
    <w:rsid w:val="6AF2BF01"/>
    <w:rsid w:val="6B0A7092"/>
    <w:rsid w:val="6B1841A8"/>
    <w:rsid w:val="6B244BC3"/>
    <w:rsid w:val="6B35EAC3"/>
    <w:rsid w:val="6B3CE9B8"/>
    <w:rsid w:val="6B576920"/>
    <w:rsid w:val="6B57EEAA"/>
    <w:rsid w:val="6B6A3EA7"/>
    <w:rsid w:val="6B6C7CC5"/>
    <w:rsid w:val="6B7DCBEB"/>
    <w:rsid w:val="6B8991DA"/>
    <w:rsid w:val="6B8EACFB"/>
    <w:rsid w:val="6B90303E"/>
    <w:rsid w:val="6B9397D7"/>
    <w:rsid w:val="6BA686E7"/>
    <w:rsid w:val="6BB2EA46"/>
    <w:rsid w:val="6BB81A7F"/>
    <w:rsid w:val="6BC96461"/>
    <w:rsid w:val="6BCA1602"/>
    <w:rsid w:val="6BCCC22D"/>
    <w:rsid w:val="6BDE3B94"/>
    <w:rsid w:val="6BE41022"/>
    <w:rsid w:val="6BF79DB0"/>
    <w:rsid w:val="6C15F295"/>
    <w:rsid w:val="6C2C4B13"/>
    <w:rsid w:val="6C317A99"/>
    <w:rsid w:val="6C340142"/>
    <w:rsid w:val="6C3E1BF4"/>
    <w:rsid w:val="6C3F22F9"/>
    <w:rsid w:val="6C435787"/>
    <w:rsid w:val="6C48E0BA"/>
    <w:rsid w:val="6C51C0EF"/>
    <w:rsid w:val="6C683AF9"/>
    <w:rsid w:val="6C6C5C55"/>
    <w:rsid w:val="6C712FF2"/>
    <w:rsid w:val="6C72C1ED"/>
    <w:rsid w:val="6C79C37E"/>
    <w:rsid w:val="6C7FDBB5"/>
    <w:rsid w:val="6CA300E5"/>
    <w:rsid w:val="6CDBCDBC"/>
    <w:rsid w:val="6CEA5DB8"/>
    <w:rsid w:val="6CEFBB72"/>
    <w:rsid w:val="6CF46B9D"/>
    <w:rsid w:val="6CF8D532"/>
    <w:rsid w:val="6D0D8EAF"/>
    <w:rsid w:val="6D1F6F70"/>
    <w:rsid w:val="6D3B6759"/>
    <w:rsid w:val="6D3C8265"/>
    <w:rsid w:val="6D52ACDB"/>
    <w:rsid w:val="6D58412E"/>
    <w:rsid w:val="6D6DB904"/>
    <w:rsid w:val="6D746865"/>
    <w:rsid w:val="6D749DD8"/>
    <w:rsid w:val="6D7F9E5C"/>
    <w:rsid w:val="6D8E2BE0"/>
    <w:rsid w:val="6DB443D7"/>
    <w:rsid w:val="6DBE3AC0"/>
    <w:rsid w:val="6DBF93CD"/>
    <w:rsid w:val="6DCE1B55"/>
    <w:rsid w:val="6DE03CB3"/>
    <w:rsid w:val="6DE03FD7"/>
    <w:rsid w:val="6DE8BF48"/>
    <w:rsid w:val="6DEAE2F3"/>
    <w:rsid w:val="6DEAE6D0"/>
    <w:rsid w:val="6DEF01FE"/>
    <w:rsid w:val="6DF70E58"/>
    <w:rsid w:val="6E05E5D3"/>
    <w:rsid w:val="6E1DCB3E"/>
    <w:rsid w:val="6E25D294"/>
    <w:rsid w:val="6E279817"/>
    <w:rsid w:val="6E28F0C6"/>
    <w:rsid w:val="6E3B5C5D"/>
    <w:rsid w:val="6E4C847F"/>
    <w:rsid w:val="6E577973"/>
    <w:rsid w:val="6E5DDD03"/>
    <w:rsid w:val="6E5E04F3"/>
    <w:rsid w:val="6E6A2903"/>
    <w:rsid w:val="6E925795"/>
    <w:rsid w:val="6EB87999"/>
    <w:rsid w:val="6EBC9ADF"/>
    <w:rsid w:val="6EBD01B2"/>
    <w:rsid w:val="6EBDB62F"/>
    <w:rsid w:val="6ED43EF0"/>
    <w:rsid w:val="6ED4D0F5"/>
    <w:rsid w:val="6ED99532"/>
    <w:rsid w:val="6EDAEFA6"/>
    <w:rsid w:val="6EDE537E"/>
    <w:rsid w:val="6EE4503D"/>
    <w:rsid w:val="6EEF7AFB"/>
    <w:rsid w:val="6EF932A3"/>
    <w:rsid w:val="6EFD484F"/>
    <w:rsid w:val="6F085545"/>
    <w:rsid w:val="6F098A00"/>
    <w:rsid w:val="6F133661"/>
    <w:rsid w:val="6F22026D"/>
    <w:rsid w:val="6F2F1934"/>
    <w:rsid w:val="6F3837E8"/>
    <w:rsid w:val="6F3C6B00"/>
    <w:rsid w:val="6F3C7712"/>
    <w:rsid w:val="6F60C093"/>
    <w:rsid w:val="6F63D39D"/>
    <w:rsid w:val="6F657634"/>
    <w:rsid w:val="6F823B5C"/>
    <w:rsid w:val="6F9390CE"/>
    <w:rsid w:val="6F94C631"/>
    <w:rsid w:val="6FD6AFEF"/>
    <w:rsid w:val="7004F1A5"/>
    <w:rsid w:val="700785CF"/>
    <w:rsid w:val="7008C3B2"/>
    <w:rsid w:val="7009E26B"/>
    <w:rsid w:val="701E393A"/>
    <w:rsid w:val="702267A0"/>
    <w:rsid w:val="70481C07"/>
    <w:rsid w:val="7048F0E2"/>
    <w:rsid w:val="705C9D1A"/>
    <w:rsid w:val="7061A7B4"/>
    <w:rsid w:val="7061C840"/>
    <w:rsid w:val="7063523B"/>
    <w:rsid w:val="70640B62"/>
    <w:rsid w:val="7069D1CC"/>
    <w:rsid w:val="706DE3EE"/>
    <w:rsid w:val="709E102F"/>
    <w:rsid w:val="70A1FB79"/>
    <w:rsid w:val="70AB8911"/>
    <w:rsid w:val="70BF0A90"/>
    <w:rsid w:val="70CC1CE4"/>
    <w:rsid w:val="70CE1490"/>
    <w:rsid w:val="70E3B9DA"/>
    <w:rsid w:val="70EF9262"/>
    <w:rsid w:val="70F09231"/>
    <w:rsid w:val="70F3C71B"/>
    <w:rsid w:val="71059FA6"/>
    <w:rsid w:val="711A630F"/>
    <w:rsid w:val="71214D1F"/>
    <w:rsid w:val="7129DAB7"/>
    <w:rsid w:val="712D60CE"/>
    <w:rsid w:val="71337F1B"/>
    <w:rsid w:val="7139A3AE"/>
    <w:rsid w:val="7172A560"/>
    <w:rsid w:val="717D0CE3"/>
    <w:rsid w:val="7190DE15"/>
    <w:rsid w:val="71A739C6"/>
    <w:rsid w:val="71B4529F"/>
    <w:rsid w:val="71C9FE1C"/>
    <w:rsid w:val="71CAF136"/>
    <w:rsid w:val="71CE85E9"/>
    <w:rsid w:val="71D1E6A6"/>
    <w:rsid w:val="71DC14AA"/>
    <w:rsid w:val="71DDA2F9"/>
    <w:rsid w:val="71E12DFE"/>
    <w:rsid w:val="71E132B2"/>
    <w:rsid w:val="71E6CD0B"/>
    <w:rsid w:val="71F0B0E4"/>
    <w:rsid w:val="71F7F1A0"/>
    <w:rsid w:val="71FBED31"/>
    <w:rsid w:val="71FBF0AF"/>
    <w:rsid w:val="721D9DB2"/>
    <w:rsid w:val="7220F245"/>
    <w:rsid w:val="72351772"/>
    <w:rsid w:val="723DA8C2"/>
    <w:rsid w:val="725FF9CA"/>
    <w:rsid w:val="72741427"/>
    <w:rsid w:val="72775D82"/>
    <w:rsid w:val="7281F2E7"/>
    <w:rsid w:val="7283F2A5"/>
    <w:rsid w:val="72994347"/>
    <w:rsid w:val="72A633A4"/>
    <w:rsid w:val="72BC0E38"/>
    <w:rsid w:val="72BE067A"/>
    <w:rsid w:val="72CB55F0"/>
    <w:rsid w:val="72E0C6BC"/>
    <w:rsid w:val="72F7E54B"/>
    <w:rsid w:val="731B44D5"/>
    <w:rsid w:val="731EF041"/>
    <w:rsid w:val="731F0AA4"/>
    <w:rsid w:val="7323D46B"/>
    <w:rsid w:val="7328208C"/>
    <w:rsid w:val="733991A3"/>
    <w:rsid w:val="734ED7F8"/>
    <w:rsid w:val="735F21E3"/>
    <w:rsid w:val="737A0B90"/>
    <w:rsid w:val="737E2AA9"/>
    <w:rsid w:val="7390F29D"/>
    <w:rsid w:val="739AB8B0"/>
    <w:rsid w:val="73A38290"/>
    <w:rsid w:val="73C239C1"/>
    <w:rsid w:val="73C3EE8B"/>
    <w:rsid w:val="73C85C82"/>
    <w:rsid w:val="73C8C1F7"/>
    <w:rsid w:val="73D5A05F"/>
    <w:rsid w:val="73DF9AA0"/>
    <w:rsid w:val="73E46D4E"/>
    <w:rsid w:val="73EBC40B"/>
    <w:rsid w:val="74243AC7"/>
    <w:rsid w:val="74267166"/>
    <w:rsid w:val="7430D5D5"/>
    <w:rsid w:val="7434351F"/>
    <w:rsid w:val="7457FB90"/>
    <w:rsid w:val="7461A71D"/>
    <w:rsid w:val="746806FE"/>
    <w:rsid w:val="7484C5A6"/>
    <w:rsid w:val="7489AE91"/>
    <w:rsid w:val="74A8A1B0"/>
    <w:rsid w:val="74AA4622"/>
    <w:rsid w:val="74ABF9C9"/>
    <w:rsid w:val="74B7983C"/>
    <w:rsid w:val="74B96291"/>
    <w:rsid w:val="74BA4554"/>
    <w:rsid w:val="74BFA4CC"/>
    <w:rsid w:val="74C7D5C0"/>
    <w:rsid w:val="74CE48EB"/>
    <w:rsid w:val="74D52A47"/>
    <w:rsid w:val="74DBEC74"/>
    <w:rsid w:val="74E646E1"/>
    <w:rsid w:val="74F9C691"/>
    <w:rsid w:val="75029662"/>
    <w:rsid w:val="750AD2DD"/>
    <w:rsid w:val="7515B087"/>
    <w:rsid w:val="7518D7A0"/>
    <w:rsid w:val="7519B805"/>
    <w:rsid w:val="751BDEA5"/>
    <w:rsid w:val="75372F46"/>
    <w:rsid w:val="753CD16A"/>
    <w:rsid w:val="7563384D"/>
    <w:rsid w:val="756F90CF"/>
    <w:rsid w:val="75745A6D"/>
    <w:rsid w:val="757BB3B5"/>
    <w:rsid w:val="7588A893"/>
    <w:rsid w:val="7591C1B0"/>
    <w:rsid w:val="759C3B49"/>
    <w:rsid w:val="75A6B307"/>
    <w:rsid w:val="75A6EF9C"/>
    <w:rsid w:val="75BD6B30"/>
    <w:rsid w:val="75C38718"/>
    <w:rsid w:val="75CE8682"/>
    <w:rsid w:val="75D5D131"/>
    <w:rsid w:val="75D7C32D"/>
    <w:rsid w:val="75DDF43C"/>
    <w:rsid w:val="75DECA6B"/>
    <w:rsid w:val="75E06133"/>
    <w:rsid w:val="75F7A68A"/>
    <w:rsid w:val="75FA9957"/>
    <w:rsid w:val="760BB040"/>
    <w:rsid w:val="7611E451"/>
    <w:rsid w:val="761891E5"/>
    <w:rsid w:val="76264A90"/>
    <w:rsid w:val="763156E6"/>
    <w:rsid w:val="763BE517"/>
    <w:rsid w:val="763FFC53"/>
    <w:rsid w:val="764571F7"/>
    <w:rsid w:val="764D9CD9"/>
    <w:rsid w:val="765B2A43"/>
    <w:rsid w:val="765D710B"/>
    <w:rsid w:val="76638AAE"/>
    <w:rsid w:val="767096F2"/>
    <w:rsid w:val="767B93E8"/>
    <w:rsid w:val="7685CB5B"/>
    <w:rsid w:val="7689882A"/>
    <w:rsid w:val="7689D7E3"/>
    <w:rsid w:val="76A95AC4"/>
    <w:rsid w:val="76B3C68A"/>
    <w:rsid w:val="76BF667C"/>
    <w:rsid w:val="76E5D721"/>
    <w:rsid w:val="76E96BF5"/>
    <w:rsid w:val="76F3C843"/>
    <w:rsid w:val="76FB1801"/>
    <w:rsid w:val="770D2709"/>
    <w:rsid w:val="771401EB"/>
    <w:rsid w:val="772BD453"/>
    <w:rsid w:val="772F6A1A"/>
    <w:rsid w:val="772F9992"/>
    <w:rsid w:val="773A32DB"/>
    <w:rsid w:val="7759710C"/>
    <w:rsid w:val="775D8A02"/>
    <w:rsid w:val="77703D95"/>
    <w:rsid w:val="77757A70"/>
    <w:rsid w:val="77783584"/>
    <w:rsid w:val="777F1FF7"/>
    <w:rsid w:val="7785B574"/>
    <w:rsid w:val="778A2162"/>
    <w:rsid w:val="77961ECC"/>
    <w:rsid w:val="779B23BA"/>
    <w:rsid w:val="77A176F8"/>
    <w:rsid w:val="77C1B631"/>
    <w:rsid w:val="77C3BAC8"/>
    <w:rsid w:val="77D3FD84"/>
    <w:rsid w:val="77D717D0"/>
    <w:rsid w:val="77D992B9"/>
    <w:rsid w:val="77DA0196"/>
    <w:rsid w:val="77E2F208"/>
    <w:rsid w:val="77F12C75"/>
    <w:rsid w:val="77F66568"/>
    <w:rsid w:val="77F871C1"/>
    <w:rsid w:val="780BB151"/>
    <w:rsid w:val="780CAAE1"/>
    <w:rsid w:val="780E26D8"/>
    <w:rsid w:val="7810807B"/>
    <w:rsid w:val="78113298"/>
    <w:rsid w:val="7811DD76"/>
    <w:rsid w:val="7813321D"/>
    <w:rsid w:val="78169833"/>
    <w:rsid w:val="782F9B94"/>
    <w:rsid w:val="783086A6"/>
    <w:rsid w:val="78406DA9"/>
    <w:rsid w:val="784DF7E3"/>
    <w:rsid w:val="78629227"/>
    <w:rsid w:val="78680B78"/>
    <w:rsid w:val="786B55A8"/>
    <w:rsid w:val="78932B53"/>
    <w:rsid w:val="789BB142"/>
    <w:rsid w:val="78A369FE"/>
    <w:rsid w:val="78A5D53A"/>
    <w:rsid w:val="78B86EB5"/>
    <w:rsid w:val="78BA5F72"/>
    <w:rsid w:val="78D313F8"/>
    <w:rsid w:val="78D35EB5"/>
    <w:rsid w:val="78E3EED8"/>
    <w:rsid w:val="7907BA45"/>
    <w:rsid w:val="791011AB"/>
    <w:rsid w:val="7915D53F"/>
    <w:rsid w:val="791E9332"/>
    <w:rsid w:val="7928ABF2"/>
    <w:rsid w:val="793179ED"/>
    <w:rsid w:val="7938762D"/>
    <w:rsid w:val="793E8053"/>
    <w:rsid w:val="793F66EF"/>
    <w:rsid w:val="7944B414"/>
    <w:rsid w:val="7950FE5D"/>
    <w:rsid w:val="7956E85A"/>
    <w:rsid w:val="795DDD26"/>
    <w:rsid w:val="795EEBE0"/>
    <w:rsid w:val="7976CDA3"/>
    <w:rsid w:val="7986081C"/>
    <w:rsid w:val="79885D47"/>
    <w:rsid w:val="798AAD53"/>
    <w:rsid w:val="79A4FB65"/>
    <w:rsid w:val="79AC7AEA"/>
    <w:rsid w:val="79AD8292"/>
    <w:rsid w:val="79B3F9C1"/>
    <w:rsid w:val="79BABE8D"/>
    <w:rsid w:val="79C3067A"/>
    <w:rsid w:val="79CF6DED"/>
    <w:rsid w:val="79D369C9"/>
    <w:rsid w:val="79EE6E38"/>
    <w:rsid w:val="79FDAC0B"/>
    <w:rsid w:val="7A066424"/>
    <w:rsid w:val="7A15DB19"/>
    <w:rsid w:val="7A33AFEE"/>
    <w:rsid w:val="7A358F39"/>
    <w:rsid w:val="7A42BFB5"/>
    <w:rsid w:val="7A56C7E6"/>
    <w:rsid w:val="7A58C438"/>
    <w:rsid w:val="7A5F033A"/>
    <w:rsid w:val="7A65FC7A"/>
    <w:rsid w:val="7A6E1127"/>
    <w:rsid w:val="7A74957D"/>
    <w:rsid w:val="7A78B8EA"/>
    <w:rsid w:val="7A7E644A"/>
    <w:rsid w:val="7A8702A8"/>
    <w:rsid w:val="7A8BD969"/>
    <w:rsid w:val="7A902EF0"/>
    <w:rsid w:val="7A96B753"/>
    <w:rsid w:val="7A990138"/>
    <w:rsid w:val="7A9A6436"/>
    <w:rsid w:val="7AB132E4"/>
    <w:rsid w:val="7AB2C6C7"/>
    <w:rsid w:val="7AB3CE3B"/>
    <w:rsid w:val="7ABDFCA9"/>
    <w:rsid w:val="7AD4D2DE"/>
    <w:rsid w:val="7ADAF1B2"/>
    <w:rsid w:val="7ADBAF5F"/>
    <w:rsid w:val="7AE704AB"/>
    <w:rsid w:val="7AF272F8"/>
    <w:rsid w:val="7AFADD46"/>
    <w:rsid w:val="7AFE64CE"/>
    <w:rsid w:val="7B11B513"/>
    <w:rsid w:val="7B12334A"/>
    <w:rsid w:val="7B1804E0"/>
    <w:rsid w:val="7B22C677"/>
    <w:rsid w:val="7B26522E"/>
    <w:rsid w:val="7B439679"/>
    <w:rsid w:val="7B484ECF"/>
    <w:rsid w:val="7B4884C4"/>
    <w:rsid w:val="7B4E0717"/>
    <w:rsid w:val="7B56C48F"/>
    <w:rsid w:val="7B59BEA5"/>
    <w:rsid w:val="7B831C70"/>
    <w:rsid w:val="7B8383D8"/>
    <w:rsid w:val="7B92EFDC"/>
    <w:rsid w:val="7B96A991"/>
    <w:rsid w:val="7B9A36AD"/>
    <w:rsid w:val="7BADAD2B"/>
    <w:rsid w:val="7BB16266"/>
    <w:rsid w:val="7BB9546A"/>
    <w:rsid w:val="7BE00EE2"/>
    <w:rsid w:val="7BE044F7"/>
    <w:rsid w:val="7C06FC94"/>
    <w:rsid w:val="7C104B2C"/>
    <w:rsid w:val="7C135E45"/>
    <w:rsid w:val="7C149331"/>
    <w:rsid w:val="7C1CC718"/>
    <w:rsid w:val="7C1DE6C6"/>
    <w:rsid w:val="7C2942F3"/>
    <w:rsid w:val="7C358A94"/>
    <w:rsid w:val="7C430175"/>
    <w:rsid w:val="7C753DDE"/>
    <w:rsid w:val="7C80E030"/>
    <w:rsid w:val="7C82FC92"/>
    <w:rsid w:val="7C95F3DC"/>
    <w:rsid w:val="7C99A391"/>
    <w:rsid w:val="7C9D79C3"/>
    <w:rsid w:val="7CB861FE"/>
    <w:rsid w:val="7CBDEE0D"/>
    <w:rsid w:val="7CC04FBA"/>
    <w:rsid w:val="7CD0BA59"/>
    <w:rsid w:val="7CD42BF5"/>
    <w:rsid w:val="7CE4B68C"/>
    <w:rsid w:val="7CE6B0E5"/>
    <w:rsid w:val="7CF76066"/>
    <w:rsid w:val="7CFB6A50"/>
    <w:rsid w:val="7D0CDA85"/>
    <w:rsid w:val="7D1D6C4B"/>
    <w:rsid w:val="7D21C4FB"/>
    <w:rsid w:val="7D2FD538"/>
    <w:rsid w:val="7D403433"/>
    <w:rsid w:val="7D4F904C"/>
    <w:rsid w:val="7D535F18"/>
    <w:rsid w:val="7D580079"/>
    <w:rsid w:val="7D596D8A"/>
    <w:rsid w:val="7D5A3F43"/>
    <w:rsid w:val="7D5A4492"/>
    <w:rsid w:val="7D62464A"/>
    <w:rsid w:val="7D6ACC1A"/>
    <w:rsid w:val="7D6B5D0F"/>
    <w:rsid w:val="7D6C2EBC"/>
    <w:rsid w:val="7D792DA5"/>
    <w:rsid w:val="7D8A8AC3"/>
    <w:rsid w:val="7D8FE5A5"/>
    <w:rsid w:val="7D934E48"/>
    <w:rsid w:val="7D947F2E"/>
    <w:rsid w:val="7DA5CB93"/>
    <w:rsid w:val="7DA775B6"/>
    <w:rsid w:val="7DB528B5"/>
    <w:rsid w:val="7DBE6ECB"/>
    <w:rsid w:val="7DC51C3A"/>
    <w:rsid w:val="7DC9A08D"/>
    <w:rsid w:val="7DDDA3B1"/>
    <w:rsid w:val="7DEEA360"/>
    <w:rsid w:val="7DF4D810"/>
    <w:rsid w:val="7DF554EE"/>
    <w:rsid w:val="7E011835"/>
    <w:rsid w:val="7E07A88A"/>
    <w:rsid w:val="7E100B77"/>
    <w:rsid w:val="7E140CDD"/>
    <w:rsid w:val="7E254FE8"/>
    <w:rsid w:val="7E2ED6D5"/>
    <w:rsid w:val="7E307F63"/>
    <w:rsid w:val="7E3BA37E"/>
    <w:rsid w:val="7E3DC3F3"/>
    <w:rsid w:val="7E4253D0"/>
    <w:rsid w:val="7E520B4E"/>
    <w:rsid w:val="7E631565"/>
    <w:rsid w:val="7E66BC51"/>
    <w:rsid w:val="7E802660"/>
    <w:rsid w:val="7E836B59"/>
    <w:rsid w:val="7E88A1E3"/>
    <w:rsid w:val="7E8DF066"/>
    <w:rsid w:val="7EBE0690"/>
    <w:rsid w:val="7EC589B7"/>
    <w:rsid w:val="7EE2B083"/>
    <w:rsid w:val="7EE6CC4F"/>
    <w:rsid w:val="7EF53CC3"/>
    <w:rsid w:val="7EFBF8A0"/>
    <w:rsid w:val="7EFC140F"/>
    <w:rsid w:val="7F05C7A0"/>
    <w:rsid w:val="7F0B3EA0"/>
    <w:rsid w:val="7F18D6BF"/>
    <w:rsid w:val="7F198C55"/>
    <w:rsid w:val="7F2F1FB6"/>
    <w:rsid w:val="7F3DB3E7"/>
    <w:rsid w:val="7F4A7831"/>
    <w:rsid w:val="7F4B020F"/>
    <w:rsid w:val="7F544724"/>
    <w:rsid w:val="7F64034C"/>
    <w:rsid w:val="7F731F7C"/>
    <w:rsid w:val="7F866DE0"/>
    <w:rsid w:val="7F8A77C2"/>
    <w:rsid w:val="7F8BBE0B"/>
    <w:rsid w:val="7F8ED010"/>
    <w:rsid w:val="7F942F0F"/>
    <w:rsid w:val="7FA10C53"/>
    <w:rsid w:val="7FA6A791"/>
    <w:rsid w:val="7FB4FCF1"/>
    <w:rsid w:val="7FBA3B8F"/>
    <w:rsid w:val="7FC35DF7"/>
    <w:rsid w:val="7FED4615"/>
    <w:rsid w:val="7FF1D361"/>
    <w:rsid w:val="7FF4BBC1"/>
    <w:rsid w:val="7FFF4CE1"/>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4AF3C"/>
  <w15:chartTrackingRefBased/>
  <w15:docId w15:val="{DAD0AF65-D437-4986-AEA8-D4458732E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I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B82"/>
    <w:pPr>
      <w:spacing w:before="120" w:after="120"/>
    </w:pPr>
    <w:rPr>
      <w:lang w:val="en-GB"/>
    </w:rPr>
  </w:style>
  <w:style w:type="paragraph" w:styleId="Heading1">
    <w:name w:val="heading 1"/>
    <w:basedOn w:val="Normal"/>
    <w:next w:val="Normal"/>
    <w:link w:val="Heading1Char"/>
    <w:uiPriority w:val="9"/>
    <w:qFormat/>
    <w:rsid w:val="003D6433"/>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3D6433"/>
    <w:pPr>
      <w:spacing w:after="0"/>
      <w:jc w:val="left"/>
      <w:outlineLvl w:val="1"/>
    </w:pPr>
    <w:rPr>
      <w:smallCaps/>
      <w:spacing w:val="5"/>
      <w:sz w:val="28"/>
      <w:szCs w:val="28"/>
    </w:rPr>
  </w:style>
  <w:style w:type="paragraph" w:styleId="Heading3">
    <w:name w:val="heading 3"/>
    <w:basedOn w:val="Normal"/>
    <w:next w:val="Normal"/>
    <w:link w:val="Heading3Char"/>
    <w:uiPriority w:val="9"/>
    <w:unhideWhenUsed/>
    <w:qFormat/>
    <w:rsid w:val="005B1794"/>
    <w:pPr>
      <w:widowControl w:val="0"/>
      <w:spacing w:after="0"/>
      <w:jc w:val="left"/>
      <w:outlineLvl w:val="2"/>
    </w:pPr>
    <w:rPr>
      <w:smallCaps/>
      <w:color w:val="2F5496" w:themeColor="accent1" w:themeShade="BF"/>
      <w:spacing w:val="5"/>
      <w:sz w:val="24"/>
      <w:szCs w:val="24"/>
    </w:rPr>
  </w:style>
  <w:style w:type="paragraph" w:styleId="Heading4">
    <w:name w:val="heading 4"/>
    <w:basedOn w:val="Normal"/>
    <w:next w:val="Normal"/>
    <w:link w:val="Heading4Char"/>
    <w:uiPriority w:val="9"/>
    <w:semiHidden/>
    <w:unhideWhenUsed/>
    <w:qFormat/>
    <w:rsid w:val="003D6433"/>
    <w:pPr>
      <w:spacing w:after="0"/>
      <w:jc w:val="left"/>
      <w:outlineLvl w:val="3"/>
    </w:pPr>
    <w:rPr>
      <w:i/>
      <w:iCs/>
      <w:smallCaps/>
      <w:spacing w:val="10"/>
      <w:sz w:val="22"/>
      <w:szCs w:val="22"/>
    </w:rPr>
  </w:style>
  <w:style w:type="paragraph" w:styleId="Heading5">
    <w:name w:val="heading 5"/>
    <w:basedOn w:val="Normal"/>
    <w:next w:val="Normal"/>
    <w:link w:val="Heading5Char"/>
    <w:uiPriority w:val="9"/>
    <w:semiHidden/>
    <w:unhideWhenUsed/>
    <w:qFormat/>
    <w:rsid w:val="003D6433"/>
    <w:pPr>
      <w:spacing w:after="0"/>
      <w:jc w:val="left"/>
      <w:outlineLvl w:val="4"/>
    </w:pPr>
    <w:rPr>
      <w:smallCaps/>
      <w:color w:val="538135" w:themeColor="accent6" w:themeShade="BF"/>
      <w:spacing w:val="10"/>
      <w:sz w:val="22"/>
      <w:szCs w:val="22"/>
    </w:rPr>
  </w:style>
  <w:style w:type="paragraph" w:styleId="Heading6">
    <w:name w:val="heading 6"/>
    <w:basedOn w:val="Normal"/>
    <w:next w:val="Normal"/>
    <w:link w:val="Heading6Char"/>
    <w:uiPriority w:val="9"/>
    <w:semiHidden/>
    <w:unhideWhenUsed/>
    <w:qFormat/>
    <w:rsid w:val="003D6433"/>
    <w:pPr>
      <w:spacing w:after="0"/>
      <w:jc w:val="left"/>
      <w:outlineLvl w:val="5"/>
    </w:pPr>
    <w:rPr>
      <w:smallCaps/>
      <w:color w:val="70AD47" w:themeColor="accent6"/>
      <w:spacing w:val="5"/>
      <w:sz w:val="22"/>
      <w:szCs w:val="22"/>
    </w:rPr>
  </w:style>
  <w:style w:type="paragraph" w:styleId="Heading7">
    <w:name w:val="heading 7"/>
    <w:basedOn w:val="Normal"/>
    <w:next w:val="Normal"/>
    <w:link w:val="Heading7Char"/>
    <w:uiPriority w:val="9"/>
    <w:semiHidden/>
    <w:unhideWhenUsed/>
    <w:qFormat/>
    <w:rsid w:val="003D6433"/>
    <w:pPr>
      <w:spacing w:after="0"/>
      <w:jc w:val="left"/>
      <w:outlineLvl w:val="6"/>
    </w:pPr>
    <w:rPr>
      <w:b/>
      <w:bCs/>
      <w:smallCaps/>
      <w:color w:val="70AD47" w:themeColor="accent6"/>
      <w:spacing w:val="10"/>
    </w:rPr>
  </w:style>
  <w:style w:type="paragraph" w:styleId="Heading8">
    <w:name w:val="heading 8"/>
    <w:basedOn w:val="Normal"/>
    <w:next w:val="Normal"/>
    <w:link w:val="Heading8Char"/>
    <w:uiPriority w:val="9"/>
    <w:semiHidden/>
    <w:unhideWhenUsed/>
    <w:qFormat/>
    <w:rsid w:val="003D6433"/>
    <w:pPr>
      <w:spacing w:after="0"/>
      <w:jc w:val="left"/>
      <w:outlineLvl w:val="7"/>
    </w:pPr>
    <w:rPr>
      <w:b/>
      <w:bCs/>
      <w:i/>
      <w:iCs/>
      <w:smallCaps/>
      <w:color w:val="538135" w:themeColor="accent6" w:themeShade="BF"/>
    </w:rPr>
  </w:style>
  <w:style w:type="paragraph" w:styleId="Heading9">
    <w:name w:val="heading 9"/>
    <w:basedOn w:val="Normal"/>
    <w:next w:val="Normal"/>
    <w:link w:val="Heading9Char"/>
    <w:uiPriority w:val="9"/>
    <w:semiHidden/>
    <w:unhideWhenUsed/>
    <w:qFormat/>
    <w:rsid w:val="003D6433"/>
    <w:pPr>
      <w:spacing w:after="0"/>
      <w:jc w:val="left"/>
      <w:outlineLvl w:val="8"/>
    </w:pPr>
    <w:rPr>
      <w:b/>
      <w:bCs/>
      <w:i/>
      <w:iCs/>
      <w:smallCaps/>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71AC"/>
    <w:pPr>
      <w:ind w:left="720"/>
      <w:contextualSpacing/>
    </w:pPr>
  </w:style>
  <w:style w:type="character" w:customStyle="1" w:styleId="Heading1Char">
    <w:name w:val="Heading 1 Char"/>
    <w:basedOn w:val="DefaultParagraphFont"/>
    <w:link w:val="Heading1"/>
    <w:uiPriority w:val="9"/>
    <w:rsid w:val="003D6433"/>
    <w:rPr>
      <w:smallCaps/>
      <w:spacing w:val="5"/>
      <w:sz w:val="32"/>
      <w:szCs w:val="32"/>
    </w:rPr>
  </w:style>
  <w:style w:type="character" w:customStyle="1" w:styleId="Heading2Char">
    <w:name w:val="Heading 2 Char"/>
    <w:basedOn w:val="DefaultParagraphFont"/>
    <w:link w:val="Heading2"/>
    <w:uiPriority w:val="9"/>
    <w:rsid w:val="003D6433"/>
    <w:rPr>
      <w:smallCaps/>
      <w:spacing w:val="5"/>
      <w:sz w:val="28"/>
      <w:szCs w:val="28"/>
    </w:rPr>
  </w:style>
  <w:style w:type="character" w:customStyle="1" w:styleId="Heading3Char">
    <w:name w:val="Heading 3 Char"/>
    <w:basedOn w:val="DefaultParagraphFont"/>
    <w:link w:val="Heading3"/>
    <w:uiPriority w:val="9"/>
    <w:rsid w:val="005B1794"/>
    <w:rPr>
      <w:smallCaps/>
      <w:color w:val="2F5496" w:themeColor="accent1" w:themeShade="BF"/>
      <w:spacing w:val="5"/>
      <w:sz w:val="24"/>
      <w:szCs w:val="24"/>
      <w:lang w:val="en-GB"/>
    </w:rPr>
  </w:style>
  <w:style w:type="paragraph" w:styleId="TOCHeading">
    <w:name w:val="TOC Heading"/>
    <w:basedOn w:val="Heading1"/>
    <w:next w:val="Normal"/>
    <w:uiPriority w:val="39"/>
    <w:unhideWhenUsed/>
    <w:qFormat/>
    <w:rsid w:val="003D6433"/>
    <w:pPr>
      <w:outlineLvl w:val="9"/>
    </w:pPr>
  </w:style>
  <w:style w:type="paragraph" w:styleId="TOC1">
    <w:name w:val="toc 1"/>
    <w:basedOn w:val="Normal"/>
    <w:next w:val="Normal"/>
    <w:autoRedefine/>
    <w:uiPriority w:val="39"/>
    <w:unhideWhenUsed/>
    <w:rsid w:val="00810AFB"/>
    <w:pPr>
      <w:tabs>
        <w:tab w:val="right" w:leader="dot" w:pos="9016"/>
      </w:tabs>
      <w:spacing w:after="100"/>
    </w:pPr>
  </w:style>
  <w:style w:type="paragraph" w:styleId="TOC2">
    <w:name w:val="toc 2"/>
    <w:basedOn w:val="Normal"/>
    <w:next w:val="Normal"/>
    <w:autoRedefine/>
    <w:uiPriority w:val="39"/>
    <w:unhideWhenUsed/>
    <w:rsid w:val="00084112"/>
    <w:pPr>
      <w:tabs>
        <w:tab w:val="left" w:pos="880"/>
        <w:tab w:val="right" w:leader="dot" w:pos="9016"/>
      </w:tabs>
      <w:spacing w:after="100"/>
      <w:ind w:left="220"/>
    </w:pPr>
    <w:rPr>
      <w:b/>
      <w:bCs/>
      <w:noProof/>
    </w:rPr>
  </w:style>
  <w:style w:type="paragraph" w:styleId="TOC3">
    <w:name w:val="toc 3"/>
    <w:basedOn w:val="Normal"/>
    <w:next w:val="Normal"/>
    <w:autoRedefine/>
    <w:uiPriority w:val="39"/>
    <w:unhideWhenUsed/>
    <w:rsid w:val="00AE0DBF"/>
    <w:pPr>
      <w:tabs>
        <w:tab w:val="left" w:pos="1320"/>
        <w:tab w:val="right" w:leader="dot" w:pos="9016"/>
      </w:tabs>
      <w:spacing w:after="100"/>
      <w:ind w:left="440"/>
    </w:pPr>
  </w:style>
  <w:style w:type="character" w:styleId="Hyperlink">
    <w:name w:val="Hyperlink"/>
    <w:basedOn w:val="DefaultParagraphFont"/>
    <w:uiPriority w:val="99"/>
    <w:unhideWhenUsed/>
    <w:rsid w:val="00CD67A6"/>
    <w:rPr>
      <w:color w:val="0563C1" w:themeColor="hyperlink"/>
      <w:u w:val="single"/>
    </w:rPr>
  </w:style>
  <w:style w:type="paragraph" w:styleId="TOC4">
    <w:name w:val="toc 4"/>
    <w:basedOn w:val="Normal"/>
    <w:next w:val="Normal"/>
    <w:autoRedefine/>
    <w:uiPriority w:val="39"/>
    <w:semiHidden/>
    <w:unhideWhenUsed/>
    <w:rsid w:val="00343301"/>
    <w:pPr>
      <w:spacing w:after="100"/>
      <w:ind w:left="660"/>
    </w:pPr>
  </w:style>
  <w:style w:type="paragraph" w:styleId="FootnoteText">
    <w:name w:val="footnote text"/>
    <w:basedOn w:val="Normal"/>
    <w:link w:val="FootnoteTextChar"/>
    <w:unhideWhenUsed/>
    <w:rsid w:val="00683D8A"/>
    <w:pPr>
      <w:spacing w:after="0" w:line="240" w:lineRule="auto"/>
    </w:pPr>
  </w:style>
  <w:style w:type="character" w:customStyle="1" w:styleId="FootnoteTextChar">
    <w:name w:val="Footnote Text Char"/>
    <w:basedOn w:val="DefaultParagraphFont"/>
    <w:link w:val="FootnoteText"/>
    <w:rsid w:val="00683D8A"/>
    <w:rPr>
      <w:sz w:val="20"/>
      <w:szCs w:val="20"/>
    </w:rPr>
  </w:style>
  <w:style w:type="character" w:styleId="FootnoteReference">
    <w:name w:val="footnote reference"/>
    <w:basedOn w:val="DefaultParagraphFont"/>
    <w:unhideWhenUsed/>
    <w:rsid w:val="00683D8A"/>
    <w:rPr>
      <w:vertAlign w:val="superscript"/>
    </w:rPr>
  </w:style>
  <w:style w:type="character" w:styleId="UnresolvedMention">
    <w:name w:val="Unresolved Mention"/>
    <w:basedOn w:val="DefaultParagraphFont"/>
    <w:uiPriority w:val="99"/>
    <w:semiHidden/>
    <w:unhideWhenUsed/>
    <w:rsid w:val="00AE39F4"/>
    <w:rPr>
      <w:color w:val="605E5C"/>
      <w:shd w:val="clear" w:color="auto" w:fill="E1DFDD"/>
    </w:rPr>
  </w:style>
  <w:style w:type="table" w:styleId="TableGrid">
    <w:name w:val="Table Grid"/>
    <w:basedOn w:val="TableNormal"/>
    <w:uiPriority w:val="39"/>
    <w:rsid w:val="002B5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Subtitle"/>
    <w:link w:val="Style1Char"/>
    <w:rsid w:val="00B41B02"/>
    <w:pPr>
      <w:framePr w:wrap="around" w:vAnchor="text" w:hAnchor="text" w:y="1"/>
      <w:widowControl w:val="0"/>
      <w:spacing w:after="120"/>
    </w:pPr>
  </w:style>
  <w:style w:type="paragraph" w:styleId="Subtitle">
    <w:name w:val="Subtitle"/>
    <w:basedOn w:val="Normal"/>
    <w:next w:val="Normal"/>
    <w:link w:val="SubtitleChar"/>
    <w:uiPriority w:val="11"/>
    <w:qFormat/>
    <w:rsid w:val="003D6433"/>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3D6433"/>
    <w:rPr>
      <w:rFonts w:asciiTheme="majorHAnsi" w:eastAsiaTheme="majorEastAsia" w:hAnsiTheme="majorHAnsi" w:cstheme="majorBidi"/>
    </w:rPr>
  </w:style>
  <w:style w:type="character" w:customStyle="1" w:styleId="Style1Char">
    <w:name w:val="Style1 Char"/>
    <w:basedOn w:val="SubtitleChar"/>
    <w:link w:val="Style1"/>
    <w:rsid w:val="00B41B02"/>
    <w:rPr>
      <w:rFonts w:asciiTheme="majorHAnsi" w:eastAsiaTheme="majorEastAsia" w:hAnsiTheme="majorHAnsi" w:cstheme="majorBidi"/>
      <w:caps w:val="0"/>
      <w:color w:val="595959" w:themeColor="text1" w:themeTint="A6"/>
      <w:spacing w:val="10"/>
      <w:sz w:val="21"/>
      <w:szCs w:val="21"/>
      <w:lang w:val="en-GB"/>
    </w:rPr>
  </w:style>
  <w:style w:type="paragraph" w:styleId="IntenseQuote">
    <w:name w:val="Intense Quote"/>
    <w:basedOn w:val="Normal"/>
    <w:next w:val="Normal"/>
    <w:link w:val="IntenseQuoteChar"/>
    <w:uiPriority w:val="30"/>
    <w:qFormat/>
    <w:rsid w:val="003D6433"/>
    <w:pPr>
      <w:pBdr>
        <w:top w:val="single" w:sz="8" w:space="1" w:color="70AD47" w:themeColor="accent6"/>
      </w:pBdr>
      <w:spacing w:before="140" w:after="140"/>
      <w:ind w:left="1440" w:right="1440"/>
    </w:pPr>
    <w:rPr>
      <w:b/>
      <w:bCs/>
      <w:i/>
      <w:iCs/>
    </w:rPr>
  </w:style>
  <w:style w:type="character" w:customStyle="1" w:styleId="IntenseQuoteChar">
    <w:name w:val="Intense Quote Char"/>
    <w:basedOn w:val="DefaultParagraphFont"/>
    <w:link w:val="IntenseQuote"/>
    <w:uiPriority w:val="30"/>
    <w:rsid w:val="003D6433"/>
    <w:rPr>
      <w:b/>
      <w:bCs/>
      <w:i/>
      <w:iCs/>
    </w:rPr>
  </w:style>
  <w:style w:type="character" w:styleId="IntenseEmphasis">
    <w:name w:val="Intense Emphasis"/>
    <w:uiPriority w:val="21"/>
    <w:qFormat/>
    <w:rsid w:val="003D6433"/>
    <w:rPr>
      <w:b/>
      <w:bCs/>
      <w:i/>
      <w:iCs/>
      <w:color w:val="70AD47" w:themeColor="accent6"/>
      <w:spacing w:val="10"/>
    </w:rPr>
  </w:style>
  <w:style w:type="character" w:customStyle="1" w:styleId="Heading4Char">
    <w:name w:val="Heading 4 Char"/>
    <w:basedOn w:val="DefaultParagraphFont"/>
    <w:link w:val="Heading4"/>
    <w:uiPriority w:val="9"/>
    <w:semiHidden/>
    <w:rsid w:val="003D6433"/>
    <w:rPr>
      <w:i/>
      <w:iCs/>
      <w:smallCaps/>
      <w:spacing w:val="10"/>
      <w:sz w:val="22"/>
      <w:szCs w:val="22"/>
    </w:rPr>
  </w:style>
  <w:style w:type="character" w:customStyle="1" w:styleId="Heading5Char">
    <w:name w:val="Heading 5 Char"/>
    <w:basedOn w:val="DefaultParagraphFont"/>
    <w:link w:val="Heading5"/>
    <w:uiPriority w:val="9"/>
    <w:semiHidden/>
    <w:rsid w:val="003D6433"/>
    <w:rPr>
      <w:smallCaps/>
      <w:color w:val="538135" w:themeColor="accent6" w:themeShade="BF"/>
      <w:spacing w:val="10"/>
      <w:sz w:val="22"/>
      <w:szCs w:val="22"/>
    </w:rPr>
  </w:style>
  <w:style w:type="character" w:customStyle="1" w:styleId="Heading6Char">
    <w:name w:val="Heading 6 Char"/>
    <w:basedOn w:val="DefaultParagraphFont"/>
    <w:link w:val="Heading6"/>
    <w:uiPriority w:val="9"/>
    <w:semiHidden/>
    <w:rsid w:val="003D6433"/>
    <w:rPr>
      <w:smallCaps/>
      <w:color w:val="70AD47" w:themeColor="accent6"/>
      <w:spacing w:val="5"/>
      <w:sz w:val="22"/>
      <w:szCs w:val="22"/>
    </w:rPr>
  </w:style>
  <w:style w:type="character" w:customStyle="1" w:styleId="Heading7Char">
    <w:name w:val="Heading 7 Char"/>
    <w:basedOn w:val="DefaultParagraphFont"/>
    <w:link w:val="Heading7"/>
    <w:uiPriority w:val="9"/>
    <w:semiHidden/>
    <w:rsid w:val="003D6433"/>
    <w:rPr>
      <w:b/>
      <w:bCs/>
      <w:smallCaps/>
      <w:color w:val="70AD47" w:themeColor="accent6"/>
      <w:spacing w:val="10"/>
    </w:rPr>
  </w:style>
  <w:style w:type="character" w:customStyle="1" w:styleId="Heading8Char">
    <w:name w:val="Heading 8 Char"/>
    <w:basedOn w:val="DefaultParagraphFont"/>
    <w:link w:val="Heading8"/>
    <w:uiPriority w:val="9"/>
    <w:semiHidden/>
    <w:rsid w:val="003D6433"/>
    <w:rPr>
      <w:b/>
      <w:bCs/>
      <w:i/>
      <w:iCs/>
      <w:smallCaps/>
      <w:color w:val="538135" w:themeColor="accent6" w:themeShade="BF"/>
    </w:rPr>
  </w:style>
  <w:style w:type="character" w:customStyle="1" w:styleId="Heading9Char">
    <w:name w:val="Heading 9 Char"/>
    <w:basedOn w:val="DefaultParagraphFont"/>
    <w:link w:val="Heading9"/>
    <w:uiPriority w:val="9"/>
    <w:semiHidden/>
    <w:rsid w:val="003D6433"/>
    <w:rPr>
      <w:b/>
      <w:bCs/>
      <w:i/>
      <w:iCs/>
      <w:smallCaps/>
      <w:color w:val="385623" w:themeColor="accent6" w:themeShade="80"/>
    </w:rPr>
  </w:style>
  <w:style w:type="paragraph" w:styleId="Caption">
    <w:name w:val="caption"/>
    <w:basedOn w:val="Normal"/>
    <w:next w:val="Normal"/>
    <w:uiPriority w:val="35"/>
    <w:semiHidden/>
    <w:unhideWhenUsed/>
    <w:qFormat/>
    <w:rsid w:val="003D6433"/>
    <w:rPr>
      <w:b/>
      <w:bCs/>
      <w:caps/>
      <w:sz w:val="16"/>
      <w:szCs w:val="16"/>
    </w:rPr>
  </w:style>
  <w:style w:type="paragraph" w:styleId="Title">
    <w:name w:val="Title"/>
    <w:basedOn w:val="Normal"/>
    <w:next w:val="Normal"/>
    <w:link w:val="TitleChar"/>
    <w:uiPriority w:val="10"/>
    <w:qFormat/>
    <w:rsid w:val="003D6433"/>
    <w:pPr>
      <w:pBdr>
        <w:top w:val="single" w:sz="8" w:space="1" w:color="70AD47" w:themeColor="accent6"/>
      </w:pBdr>
      <w:spacing w:line="240" w:lineRule="auto"/>
      <w:jc w:val="right"/>
    </w:pPr>
    <w:rPr>
      <w:smallCaps/>
      <w:color w:val="262626" w:themeColor="text1" w:themeTint="D9"/>
      <w:sz w:val="52"/>
      <w:szCs w:val="52"/>
    </w:rPr>
  </w:style>
  <w:style w:type="character" w:customStyle="1" w:styleId="TitleChar">
    <w:name w:val="Title Char"/>
    <w:basedOn w:val="DefaultParagraphFont"/>
    <w:link w:val="Title"/>
    <w:uiPriority w:val="10"/>
    <w:rsid w:val="003D6433"/>
    <w:rPr>
      <w:smallCaps/>
      <w:color w:val="262626" w:themeColor="text1" w:themeTint="D9"/>
      <w:sz w:val="52"/>
      <w:szCs w:val="52"/>
    </w:rPr>
  </w:style>
  <w:style w:type="character" w:styleId="Strong">
    <w:name w:val="Strong"/>
    <w:uiPriority w:val="22"/>
    <w:qFormat/>
    <w:rsid w:val="003D6433"/>
    <w:rPr>
      <w:b/>
      <w:bCs/>
      <w:color w:val="70AD47" w:themeColor="accent6"/>
    </w:rPr>
  </w:style>
  <w:style w:type="character" w:styleId="Emphasis">
    <w:name w:val="Emphasis"/>
    <w:uiPriority w:val="20"/>
    <w:qFormat/>
    <w:rsid w:val="003D6433"/>
    <w:rPr>
      <w:b/>
      <w:bCs/>
      <w:i/>
      <w:iCs/>
      <w:spacing w:val="10"/>
    </w:rPr>
  </w:style>
  <w:style w:type="paragraph" w:styleId="NoSpacing">
    <w:name w:val="No Spacing"/>
    <w:link w:val="NoSpacingChar"/>
    <w:uiPriority w:val="1"/>
    <w:qFormat/>
    <w:rsid w:val="003D6433"/>
    <w:pPr>
      <w:spacing w:after="0" w:line="240" w:lineRule="auto"/>
    </w:pPr>
  </w:style>
  <w:style w:type="paragraph" w:styleId="Quote">
    <w:name w:val="Quote"/>
    <w:basedOn w:val="Normal"/>
    <w:next w:val="Normal"/>
    <w:link w:val="QuoteChar"/>
    <w:uiPriority w:val="29"/>
    <w:qFormat/>
    <w:rsid w:val="003D6433"/>
    <w:rPr>
      <w:i/>
      <w:iCs/>
    </w:rPr>
  </w:style>
  <w:style w:type="character" w:customStyle="1" w:styleId="QuoteChar">
    <w:name w:val="Quote Char"/>
    <w:basedOn w:val="DefaultParagraphFont"/>
    <w:link w:val="Quote"/>
    <w:uiPriority w:val="29"/>
    <w:rsid w:val="003D6433"/>
    <w:rPr>
      <w:i/>
      <w:iCs/>
    </w:rPr>
  </w:style>
  <w:style w:type="character" w:styleId="SubtleEmphasis">
    <w:name w:val="Subtle Emphasis"/>
    <w:uiPriority w:val="19"/>
    <w:qFormat/>
    <w:rsid w:val="003D6433"/>
    <w:rPr>
      <w:i/>
      <w:iCs/>
    </w:rPr>
  </w:style>
  <w:style w:type="character" w:styleId="SubtleReference">
    <w:name w:val="Subtle Reference"/>
    <w:uiPriority w:val="31"/>
    <w:qFormat/>
    <w:rsid w:val="003D6433"/>
    <w:rPr>
      <w:b/>
      <w:bCs/>
    </w:rPr>
  </w:style>
  <w:style w:type="character" w:styleId="IntenseReference">
    <w:name w:val="Intense Reference"/>
    <w:uiPriority w:val="32"/>
    <w:qFormat/>
    <w:rsid w:val="003D6433"/>
    <w:rPr>
      <w:b/>
      <w:bCs/>
      <w:smallCaps/>
      <w:spacing w:val="5"/>
      <w:sz w:val="22"/>
      <w:szCs w:val="22"/>
      <w:u w:val="single"/>
    </w:rPr>
  </w:style>
  <w:style w:type="character" w:styleId="BookTitle">
    <w:name w:val="Book Title"/>
    <w:uiPriority w:val="33"/>
    <w:qFormat/>
    <w:rsid w:val="003D6433"/>
    <w:rPr>
      <w:rFonts w:asciiTheme="majorHAnsi" w:eastAsiaTheme="majorEastAsia" w:hAnsiTheme="majorHAnsi" w:cstheme="majorBidi"/>
      <w:i/>
      <w:iCs/>
      <w:sz w:val="20"/>
      <w:szCs w:val="20"/>
    </w:rPr>
  </w:style>
  <w:style w:type="paragraph" w:customStyle="1" w:styleId="Style2">
    <w:name w:val="Style2"/>
    <w:basedOn w:val="Normal"/>
    <w:next w:val="Normal"/>
    <w:link w:val="Style2Char"/>
    <w:rsid w:val="0085360C"/>
    <w:pPr>
      <w:pBdr>
        <w:top w:val="single" w:sz="6" w:space="2" w:color="2F5496" w:themeColor="accent1" w:themeShade="BF"/>
      </w:pBdr>
      <w:spacing w:before="300" w:after="0"/>
    </w:pPr>
    <w:rPr>
      <w:caps/>
      <w:color w:val="2F5496" w:themeColor="accent1" w:themeShade="BF"/>
      <w:spacing w:val="15"/>
    </w:rPr>
  </w:style>
  <w:style w:type="character" w:customStyle="1" w:styleId="Style2Char">
    <w:name w:val="Style2 Char"/>
    <w:basedOn w:val="DefaultParagraphFont"/>
    <w:link w:val="Style2"/>
    <w:rsid w:val="0085360C"/>
    <w:rPr>
      <w:caps/>
      <w:color w:val="2F5496" w:themeColor="accent1" w:themeShade="BF"/>
      <w:spacing w:val="15"/>
      <w:lang w:val="en-GB"/>
    </w:rPr>
  </w:style>
  <w:style w:type="paragraph" w:customStyle="1" w:styleId="Style3">
    <w:name w:val="Style3"/>
    <w:basedOn w:val="Normal"/>
    <w:next w:val="Normal"/>
    <w:link w:val="Style3Char"/>
    <w:qFormat/>
    <w:rsid w:val="004E4654"/>
    <w:pPr>
      <w:pBdr>
        <w:top w:val="single" w:sz="6" w:space="2" w:color="2F5496" w:themeColor="accent1" w:themeShade="BF"/>
      </w:pBdr>
      <w:spacing w:before="300"/>
    </w:pPr>
    <w:rPr>
      <w:caps/>
      <w:color w:val="4472C4" w:themeColor="accent1"/>
      <w:spacing w:val="15"/>
    </w:rPr>
  </w:style>
  <w:style w:type="character" w:customStyle="1" w:styleId="Style3Char">
    <w:name w:val="Style3 Char"/>
    <w:basedOn w:val="DefaultParagraphFont"/>
    <w:link w:val="Style3"/>
    <w:rsid w:val="004E4654"/>
    <w:rPr>
      <w:caps/>
      <w:color w:val="4472C4" w:themeColor="accent1"/>
      <w:spacing w:val="15"/>
      <w:lang w:val="en-GB"/>
    </w:rPr>
  </w:style>
  <w:style w:type="character" w:styleId="CommentReference">
    <w:name w:val="annotation reference"/>
    <w:basedOn w:val="DefaultParagraphFont"/>
    <w:uiPriority w:val="99"/>
    <w:unhideWhenUsed/>
    <w:rsid w:val="00580DDB"/>
    <w:rPr>
      <w:sz w:val="16"/>
      <w:szCs w:val="16"/>
    </w:rPr>
  </w:style>
  <w:style w:type="paragraph" w:styleId="CommentText">
    <w:name w:val="annotation text"/>
    <w:basedOn w:val="Normal"/>
    <w:link w:val="CommentTextChar"/>
    <w:unhideWhenUsed/>
    <w:rsid w:val="00580DDB"/>
    <w:pPr>
      <w:spacing w:line="240" w:lineRule="auto"/>
    </w:pPr>
  </w:style>
  <w:style w:type="character" w:customStyle="1" w:styleId="CommentTextChar">
    <w:name w:val="Comment Text Char"/>
    <w:basedOn w:val="DefaultParagraphFont"/>
    <w:link w:val="CommentText"/>
    <w:rsid w:val="00580DDB"/>
  </w:style>
  <w:style w:type="paragraph" w:styleId="CommentSubject">
    <w:name w:val="annotation subject"/>
    <w:basedOn w:val="CommentText"/>
    <w:next w:val="CommentText"/>
    <w:link w:val="CommentSubjectChar"/>
    <w:uiPriority w:val="99"/>
    <w:semiHidden/>
    <w:unhideWhenUsed/>
    <w:rsid w:val="00580DDB"/>
    <w:rPr>
      <w:b/>
      <w:bCs/>
    </w:rPr>
  </w:style>
  <w:style w:type="character" w:customStyle="1" w:styleId="CommentSubjectChar">
    <w:name w:val="Comment Subject Char"/>
    <w:basedOn w:val="CommentTextChar"/>
    <w:link w:val="CommentSubject"/>
    <w:uiPriority w:val="99"/>
    <w:semiHidden/>
    <w:rsid w:val="00580DDB"/>
    <w:rPr>
      <w:b/>
      <w:bCs/>
    </w:rPr>
  </w:style>
  <w:style w:type="paragraph" w:styleId="Revision">
    <w:name w:val="Revision"/>
    <w:hidden/>
    <w:uiPriority w:val="99"/>
    <w:semiHidden/>
    <w:rsid w:val="006F6C3A"/>
    <w:pPr>
      <w:spacing w:after="0" w:line="240" w:lineRule="auto"/>
      <w:jc w:val="left"/>
    </w:pPr>
  </w:style>
  <w:style w:type="table" w:styleId="GridTable4-Accent1">
    <w:name w:val="Grid Table 4 Accent 1"/>
    <w:basedOn w:val="TableNormal"/>
    <w:uiPriority w:val="49"/>
    <w:rsid w:val="00DB304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BodyText">
    <w:name w:val="Body Text"/>
    <w:basedOn w:val="Normal"/>
    <w:link w:val="BodyTextChar"/>
    <w:rsid w:val="00565A1D"/>
    <w:pPr>
      <w:spacing w:before="0" w:line="240" w:lineRule="auto"/>
    </w:pPr>
    <w:rPr>
      <w:rFonts w:ascii="Verdana" w:eastAsia="Times New Roman" w:hAnsi="Verdana" w:cs="Times New Roman"/>
      <w:color w:val="333333"/>
      <w:szCs w:val="24"/>
      <w:lang w:eastAsia="en-GB"/>
    </w:rPr>
  </w:style>
  <w:style w:type="character" w:customStyle="1" w:styleId="BodyTextChar">
    <w:name w:val="Body Text Char"/>
    <w:basedOn w:val="DefaultParagraphFont"/>
    <w:link w:val="BodyText"/>
    <w:rsid w:val="00565A1D"/>
    <w:rPr>
      <w:rFonts w:ascii="Verdana" w:eastAsia="Times New Roman" w:hAnsi="Verdana" w:cs="Times New Roman"/>
      <w:color w:val="333333"/>
      <w:szCs w:val="24"/>
      <w:lang w:val="en-GB" w:eastAsia="en-GB"/>
    </w:rPr>
  </w:style>
  <w:style w:type="table" w:styleId="GridTable5Dark-Accent1">
    <w:name w:val="Grid Table 5 Dark Accent 1"/>
    <w:basedOn w:val="TableNormal"/>
    <w:uiPriority w:val="50"/>
    <w:rsid w:val="00D457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Header">
    <w:name w:val="header"/>
    <w:basedOn w:val="Normal"/>
    <w:link w:val="HeaderChar"/>
    <w:uiPriority w:val="99"/>
    <w:unhideWhenUsed/>
    <w:rsid w:val="0005024D"/>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5024D"/>
    <w:rPr>
      <w:lang w:val="en-GB"/>
    </w:rPr>
  </w:style>
  <w:style w:type="paragraph" w:styleId="Footer">
    <w:name w:val="footer"/>
    <w:basedOn w:val="Normal"/>
    <w:link w:val="FooterChar"/>
    <w:uiPriority w:val="99"/>
    <w:unhideWhenUsed/>
    <w:rsid w:val="0005024D"/>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5024D"/>
    <w:rPr>
      <w:lang w:val="en-GB"/>
    </w:rPr>
  </w:style>
  <w:style w:type="table" w:styleId="ListTable4-Accent5">
    <w:name w:val="List Table 4 Accent 5"/>
    <w:basedOn w:val="TableNormal"/>
    <w:uiPriority w:val="49"/>
    <w:rsid w:val="006B647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1">
    <w:name w:val="List Table 4 Accent 1"/>
    <w:basedOn w:val="TableNormal"/>
    <w:uiPriority w:val="49"/>
    <w:rsid w:val="002113B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Mention">
    <w:name w:val="Mention"/>
    <w:basedOn w:val="DefaultParagraphFont"/>
    <w:uiPriority w:val="99"/>
    <w:unhideWhenUsed/>
    <w:rPr>
      <w:color w:val="2B579A"/>
      <w:shd w:val="clear" w:color="auto" w:fill="E6E6E6"/>
    </w:rPr>
  </w:style>
  <w:style w:type="character" w:customStyle="1" w:styleId="NoSpacingChar">
    <w:name w:val="No Spacing Char"/>
    <w:basedOn w:val="DefaultParagraphFont"/>
    <w:link w:val="NoSpacing"/>
    <w:uiPriority w:val="1"/>
    <w:rsid w:val="00F11066"/>
  </w:style>
  <w:style w:type="paragraph" w:customStyle="1" w:styleId="Typedudocument">
    <w:name w:val="Type du document"/>
    <w:basedOn w:val="Normal"/>
    <w:next w:val="Normal"/>
    <w:rsid w:val="00F11066"/>
    <w:pPr>
      <w:spacing w:before="360" w:after="0" w:line="240" w:lineRule="auto"/>
      <w:jc w:val="center"/>
    </w:pPr>
    <w:rPr>
      <w:rFonts w:ascii="Times New Roman" w:eastAsiaTheme="minorHAnsi" w:hAnsi="Times New Roman" w:cs="Times New Roman"/>
      <w:b/>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518629">
      <w:bodyDiv w:val="1"/>
      <w:marLeft w:val="0"/>
      <w:marRight w:val="0"/>
      <w:marTop w:val="0"/>
      <w:marBottom w:val="0"/>
      <w:divBdr>
        <w:top w:val="none" w:sz="0" w:space="0" w:color="auto"/>
        <w:left w:val="none" w:sz="0" w:space="0" w:color="auto"/>
        <w:bottom w:val="none" w:sz="0" w:space="0" w:color="auto"/>
        <w:right w:val="none" w:sz="0" w:space="0" w:color="auto"/>
      </w:divBdr>
    </w:div>
    <w:div w:id="123825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svg"/><Relationship Id="rId18" Type="http://schemas.openxmlformats.org/officeDocument/2006/relationships/image" Target="media/image8.png"/><Relationship Id="rId26" Type="http://schemas.openxmlformats.org/officeDocument/2006/relationships/image" Target="media/image16.svg"/><Relationship Id="rId3" Type="http://schemas.openxmlformats.org/officeDocument/2006/relationships/customXml" Target="../customXml/item3.xml"/><Relationship Id="rId21" Type="http://schemas.openxmlformats.org/officeDocument/2006/relationships/image" Target="media/image11.sv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svg"/><Relationship Id="rId25" Type="http://schemas.openxmlformats.org/officeDocument/2006/relationships/image" Target="media/image1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sv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image" Target="media/image13.png"/><Relationship Id="rId28" Type="http://schemas.openxmlformats.org/officeDocument/2006/relationships/image" Target="media/image18.svg"/><Relationship Id="rId10" Type="http://schemas.openxmlformats.org/officeDocument/2006/relationships/endnotes" Target="endnotes.xml"/><Relationship Id="rId19" Type="http://schemas.openxmlformats.org/officeDocument/2006/relationships/image" Target="media/image9.svg"/><Relationship Id="rId31" Type="http://schemas.openxmlformats.org/officeDocument/2006/relationships/image" Target="media/image21.sv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svg"/><Relationship Id="rId27" Type="http://schemas.openxmlformats.org/officeDocument/2006/relationships/image" Target="media/image17.png"/><Relationship Id="rId30" Type="http://schemas.openxmlformats.org/officeDocument/2006/relationships/image" Target="media/image20.svg"/><Relationship Id="rId35" Type="http://schemas.microsoft.com/office/2019/05/relationships/documenttasks" Target="documenttasks/documenttasks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PDF/?uri=CELEX:52021XC0409(01)" TargetMode="External"/><Relationship Id="rId1" Type="http://schemas.openxmlformats.org/officeDocument/2006/relationships/hyperlink" Target="https://www.eca.europa.eu/Lists/ECADocuments/BRP_Cohesion_simplification/Briefing_paper_Cohesion_simplification_EN.pdf" TargetMode="External"/></Relationships>
</file>

<file path=word/documenttasks/documenttasks1.xml><?xml version="1.0" encoding="utf-8"?>
<t:Tasks xmlns:t="http://schemas.microsoft.com/office/tasks/2019/documenttasks" xmlns:oel="http://schemas.microsoft.com/office/2019/extlst">
  <t:Task id="{71DF556A-4F72-40FD-B4AA-BBD38399EFBC}">
    <t:Anchor>
      <t:Comment id="512261726"/>
    </t:Anchor>
    <t:History>
      <t:Event id="{32DE02DE-6D4D-47CD-83FF-0115DE17A435}" time="2024-05-17T07:09:15.954Z">
        <t:Attribution userId="S::marta.testa@ec.europa.eu::1065a640-b083-4268-9635-866f7fea8801" userProvider="AD" userName="TESTA Marta (EMPL)"/>
        <t:Anchor>
          <t:Comment id="13773731"/>
        </t:Anchor>
        <t:Create/>
      </t:Event>
      <t:Event id="{101F34C4-48C1-4FAB-8498-B06E8FB38597}" time="2024-05-17T07:09:15.954Z">
        <t:Attribution userId="S::marta.testa@ec.europa.eu::1065a640-b083-4268-9635-866f7fea8801" userProvider="AD" userName="TESTA Marta (EMPL)"/>
        <t:Anchor>
          <t:Comment id="13773731"/>
        </t:Anchor>
        <t:Assign userId="S::Karen.Vandeputte@ec.europa.eu::ac260064-b880-465e-b223-0564760a366a" userProvider="AD" userName="VAN DE PUTTE Karen (EMPL)"/>
      </t:Event>
      <t:Event id="{A03470D2-7E25-403F-92BC-87ED772D0D59}" time="2024-05-17T07:09:15.954Z">
        <t:Attribution userId="S::marta.testa@ec.europa.eu::1065a640-b083-4268-9635-866f7fea8801" userProvider="AD" userName="TESTA Marta (EMPL)"/>
        <t:Anchor>
          <t:Comment id="13773731"/>
        </t:Anchor>
        <t:SetTitle title="@VAN DE PUTTE Karen (EMPL) , in the previous programming period we had this interpretation. I think this should be taken into account here"/>
      </t:Event>
      <t:Event id="{BF5FC29A-CFAC-4B4E-B5E6-7C2EF3B72C04}" time="2024-05-17T07:10:21.332Z">
        <t:Attribution userId="S::marta.testa@ec.europa.eu::1065a640-b083-4268-9635-866f7fea8801" userProvider="AD" userName="TESTA Marta (EMPL)"/>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3484981D676F7469FB7985B8196FE05" ma:contentTypeVersion="6" ma:contentTypeDescription="Create a new document." ma:contentTypeScope="" ma:versionID="154ce8c1337ecb066f7b711f2f52bf24">
  <xsd:schema xmlns:xsd="http://www.w3.org/2001/XMLSchema" xmlns:xs="http://www.w3.org/2001/XMLSchema" xmlns:p="http://schemas.microsoft.com/office/2006/metadata/properties" xmlns:ns2="e0fb9e4e-9a17-43c4-891a-079bfb0a02bd" xmlns:ns3="a68ce457-625d-4aa4-9b00-ade22038be21" targetNamespace="http://schemas.microsoft.com/office/2006/metadata/properties" ma:root="true" ma:fieldsID="15f40d67a18b711242199b7e3a4dbf3a" ns2:_="" ns3:_="">
    <xsd:import namespace="e0fb9e4e-9a17-43c4-891a-079bfb0a02bd"/>
    <xsd:import namespace="a68ce457-625d-4aa4-9b00-ade22038be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b9e4e-9a17-43c4-891a-079bfb0a02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8ce457-625d-4aa4-9b00-ade22038be2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a68ce457-625d-4aa4-9b00-ade22038be21">
      <UserInfo>
        <DisplayName>DEL PRETE Salvatore (HOME)</DisplayName>
        <AccountId>21</AccountId>
        <AccountType/>
      </UserInfo>
      <UserInfo>
        <DisplayName>COMPAGNONI Silvia (HOME)</DisplayName>
        <AccountId>22</AccountId>
        <AccountType/>
      </UserInfo>
      <UserInfo>
        <DisplayName>MASSOCCHI Laura (REGIO)</DisplayName>
        <AccountId>37</AccountId>
        <AccountType/>
      </UserInfo>
      <UserInfo>
        <DisplayName>REGIO Teresa (EMPL)</DisplayName>
        <AccountId>38</AccountId>
        <AccountType/>
      </UserInfo>
    </SharedWithUsers>
  </documentManagement>
</p:properties>
</file>

<file path=customXml/itemProps1.xml><?xml version="1.0" encoding="utf-8"?>
<ds:datastoreItem xmlns:ds="http://schemas.openxmlformats.org/officeDocument/2006/customXml" ds:itemID="{977C034B-3261-4328-B080-8A7ED407E57D}">
  <ds:schemaRefs>
    <ds:schemaRef ds:uri="http://schemas.microsoft.com/sharepoint/v3/contenttype/forms"/>
  </ds:schemaRefs>
</ds:datastoreItem>
</file>

<file path=customXml/itemProps2.xml><?xml version="1.0" encoding="utf-8"?>
<ds:datastoreItem xmlns:ds="http://schemas.openxmlformats.org/officeDocument/2006/customXml" ds:itemID="{B427E329-9357-465B-B7C7-FBD68B92A2FC}">
  <ds:schemaRefs>
    <ds:schemaRef ds:uri="http://schemas.openxmlformats.org/officeDocument/2006/bibliography"/>
  </ds:schemaRefs>
</ds:datastoreItem>
</file>

<file path=customXml/itemProps3.xml><?xml version="1.0" encoding="utf-8"?>
<ds:datastoreItem xmlns:ds="http://schemas.openxmlformats.org/officeDocument/2006/customXml" ds:itemID="{24F78AE7-D291-4DD5-8A87-0B2D2A51A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b9e4e-9a17-43c4-891a-079bfb0a02bd"/>
    <ds:schemaRef ds:uri="a68ce457-625d-4aa4-9b00-ade22038b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D68182-21F5-4202-B0AD-79F0B79AD6B8}">
  <ds:schemaRefs>
    <ds:schemaRef ds:uri="http://purl.org/dc/dcmitype/"/>
    <ds:schemaRef ds:uri="http://purl.org/dc/elements/1.1/"/>
    <ds:schemaRef ds:uri="http://schemas.microsoft.com/office/2006/documentManagement/types"/>
    <ds:schemaRef ds:uri="http://www.w3.org/XML/1998/namespace"/>
    <ds:schemaRef ds:uri="http://schemas.openxmlformats.org/package/2006/metadata/core-properties"/>
    <ds:schemaRef ds:uri="a68ce457-625d-4aa4-9b00-ade22038be21"/>
    <ds:schemaRef ds:uri="http://schemas.microsoft.com/office/2006/metadata/properties"/>
    <ds:schemaRef ds:uri="http://purl.org/dc/terms/"/>
    <ds:schemaRef ds:uri="http://schemas.microsoft.com/office/infopath/2007/PartnerControls"/>
    <ds:schemaRef ds:uri="e0fb9e4e-9a17-43c4-891a-079bfb0a02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69</Pages>
  <Words>28449</Words>
  <Characters>162163</Characters>
  <Application>Microsoft Office Word</Application>
  <DocSecurity>0</DocSecurity>
  <Lines>1351</Lines>
  <Paragraphs>380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190232</CharactersWithSpaces>
  <SharedDoc>false</SharedDoc>
  <HLinks>
    <vt:vector size="594" baseType="variant">
      <vt:variant>
        <vt:i4>1245235</vt:i4>
      </vt:variant>
      <vt:variant>
        <vt:i4>338</vt:i4>
      </vt:variant>
      <vt:variant>
        <vt:i4>0</vt:i4>
      </vt:variant>
      <vt:variant>
        <vt:i4>5</vt:i4>
      </vt:variant>
      <vt:variant>
        <vt:lpwstr/>
      </vt:variant>
      <vt:variant>
        <vt:lpwstr>_Toc168327869</vt:lpwstr>
      </vt:variant>
      <vt:variant>
        <vt:i4>1245235</vt:i4>
      </vt:variant>
      <vt:variant>
        <vt:i4>332</vt:i4>
      </vt:variant>
      <vt:variant>
        <vt:i4>0</vt:i4>
      </vt:variant>
      <vt:variant>
        <vt:i4>5</vt:i4>
      </vt:variant>
      <vt:variant>
        <vt:lpwstr/>
      </vt:variant>
      <vt:variant>
        <vt:lpwstr>_Toc168327868</vt:lpwstr>
      </vt:variant>
      <vt:variant>
        <vt:i4>1245235</vt:i4>
      </vt:variant>
      <vt:variant>
        <vt:i4>326</vt:i4>
      </vt:variant>
      <vt:variant>
        <vt:i4>0</vt:i4>
      </vt:variant>
      <vt:variant>
        <vt:i4>5</vt:i4>
      </vt:variant>
      <vt:variant>
        <vt:lpwstr/>
      </vt:variant>
      <vt:variant>
        <vt:lpwstr>_Toc168327867</vt:lpwstr>
      </vt:variant>
      <vt:variant>
        <vt:i4>1245235</vt:i4>
      </vt:variant>
      <vt:variant>
        <vt:i4>320</vt:i4>
      </vt:variant>
      <vt:variant>
        <vt:i4>0</vt:i4>
      </vt:variant>
      <vt:variant>
        <vt:i4>5</vt:i4>
      </vt:variant>
      <vt:variant>
        <vt:lpwstr/>
      </vt:variant>
      <vt:variant>
        <vt:lpwstr>_Toc168327866</vt:lpwstr>
      </vt:variant>
      <vt:variant>
        <vt:i4>1245235</vt:i4>
      </vt:variant>
      <vt:variant>
        <vt:i4>314</vt:i4>
      </vt:variant>
      <vt:variant>
        <vt:i4>0</vt:i4>
      </vt:variant>
      <vt:variant>
        <vt:i4>5</vt:i4>
      </vt:variant>
      <vt:variant>
        <vt:lpwstr/>
      </vt:variant>
      <vt:variant>
        <vt:lpwstr>_Toc168327865</vt:lpwstr>
      </vt:variant>
      <vt:variant>
        <vt:i4>1245235</vt:i4>
      </vt:variant>
      <vt:variant>
        <vt:i4>308</vt:i4>
      </vt:variant>
      <vt:variant>
        <vt:i4>0</vt:i4>
      </vt:variant>
      <vt:variant>
        <vt:i4>5</vt:i4>
      </vt:variant>
      <vt:variant>
        <vt:lpwstr/>
      </vt:variant>
      <vt:variant>
        <vt:lpwstr>_Toc168327864</vt:lpwstr>
      </vt:variant>
      <vt:variant>
        <vt:i4>1245235</vt:i4>
      </vt:variant>
      <vt:variant>
        <vt:i4>302</vt:i4>
      </vt:variant>
      <vt:variant>
        <vt:i4>0</vt:i4>
      </vt:variant>
      <vt:variant>
        <vt:i4>5</vt:i4>
      </vt:variant>
      <vt:variant>
        <vt:lpwstr/>
      </vt:variant>
      <vt:variant>
        <vt:lpwstr>_Toc168327863</vt:lpwstr>
      </vt:variant>
      <vt:variant>
        <vt:i4>1245235</vt:i4>
      </vt:variant>
      <vt:variant>
        <vt:i4>296</vt:i4>
      </vt:variant>
      <vt:variant>
        <vt:i4>0</vt:i4>
      </vt:variant>
      <vt:variant>
        <vt:i4>5</vt:i4>
      </vt:variant>
      <vt:variant>
        <vt:lpwstr/>
      </vt:variant>
      <vt:variant>
        <vt:lpwstr>_Toc168327862</vt:lpwstr>
      </vt:variant>
      <vt:variant>
        <vt:i4>1245235</vt:i4>
      </vt:variant>
      <vt:variant>
        <vt:i4>290</vt:i4>
      </vt:variant>
      <vt:variant>
        <vt:i4>0</vt:i4>
      </vt:variant>
      <vt:variant>
        <vt:i4>5</vt:i4>
      </vt:variant>
      <vt:variant>
        <vt:lpwstr/>
      </vt:variant>
      <vt:variant>
        <vt:lpwstr>_Toc168327861</vt:lpwstr>
      </vt:variant>
      <vt:variant>
        <vt:i4>1245235</vt:i4>
      </vt:variant>
      <vt:variant>
        <vt:i4>284</vt:i4>
      </vt:variant>
      <vt:variant>
        <vt:i4>0</vt:i4>
      </vt:variant>
      <vt:variant>
        <vt:i4>5</vt:i4>
      </vt:variant>
      <vt:variant>
        <vt:lpwstr/>
      </vt:variant>
      <vt:variant>
        <vt:lpwstr>_Toc168327860</vt:lpwstr>
      </vt:variant>
      <vt:variant>
        <vt:i4>1048627</vt:i4>
      </vt:variant>
      <vt:variant>
        <vt:i4>278</vt:i4>
      </vt:variant>
      <vt:variant>
        <vt:i4>0</vt:i4>
      </vt:variant>
      <vt:variant>
        <vt:i4>5</vt:i4>
      </vt:variant>
      <vt:variant>
        <vt:lpwstr/>
      </vt:variant>
      <vt:variant>
        <vt:lpwstr>_Toc168327859</vt:lpwstr>
      </vt:variant>
      <vt:variant>
        <vt:i4>1048627</vt:i4>
      </vt:variant>
      <vt:variant>
        <vt:i4>272</vt:i4>
      </vt:variant>
      <vt:variant>
        <vt:i4>0</vt:i4>
      </vt:variant>
      <vt:variant>
        <vt:i4>5</vt:i4>
      </vt:variant>
      <vt:variant>
        <vt:lpwstr/>
      </vt:variant>
      <vt:variant>
        <vt:lpwstr>_Toc168327858</vt:lpwstr>
      </vt:variant>
      <vt:variant>
        <vt:i4>1048627</vt:i4>
      </vt:variant>
      <vt:variant>
        <vt:i4>266</vt:i4>
      </vt:variant>
      <vt:variant>
        <vt:i4>0</vt:i4>
      </vt:variant>
      <vt:variant>
        <vt:i4>5</vt:i4>
      </vt:variant>
      <vt:variant>
        <vt:lpwstr/>
      </vt:variant>
      <vt:variant>
        <vt:lpwstr>_Toc168327857</vt:lpwstr>
      </vt:variant>
      <vt:variant>
        <vt:i4>1048627</vt:i4>
      </vt:variant>
      <vt:variant>
        <vt:i4>260</vt:i4>
      </vt:variant>
      <vt:variant>
        <vt:i4>0</vt:i4>
      </vt:variant>
      <vt:variant>
        <vt:i4>5</vt:i4>
      </vt:variant>
      <vt:variant>
        <vt:lpwstr/>
      </vt:variant>
      <vt:variant>
        <vt:lpwstr>_Toc168327856</vt:lpwstr>
      </vt:variant>
      <vt:variant>
        <vt:i4>1048627</vt:i4>
      </vt:variant>
      <vt:variant>
        <vt:i4>254</vt:i4>
      </vt:variant>
      <vt:variant>
        <vt:i4>0</vt:i4>
      </vt:variant>
      <vt:variant>
        <vt:i4>5</vt:i4>
      </vt:variant>
      <vt:variant>
        <vt:lpwstr/>
      </vt:variant>
      <vt:variant>
        <vt:lpwstr>_Toc168327855</vt:lpwstr>
      </vt:variant>
      <vt:variant>
        <vt:i4>1048627</vt:i4>
      </vt:variant>
      <vt:variant>
        <vt:i4>248</vt:i4>
      </vt:variant>
      <vt:variant>
        <vt:i4>0</vt:i4>
      </vt:variant>
      <vt:variant>
        <vt:i4>5</vt:i4>
      </vt:variant>
      <vt:variant>
        <vt:lpwstr/>
      </vt:variant>
      <vt:variant>
        <vt:lpwstr>_Toc168327854</vt:lpwstr>
      </vt:variant>
      <vt:variant>
        <vt:i4>1048627</vt:i4>
      </vt:variant>
      <vt:variant>
        <vt:i4>242</vt:i4>
      </vt:variant>
      <vt:variant>
        <vt:i4>0</vt:i4>
      </vt:variant>
      <vt:variant>
        <vt:i4>5</vt:i4>
      </vt:variant>
      <vt:variant>
        <vt:lpwstr/>
      </vt:variant>
      <vt:variant>
        <vt:lpwstr>_Toc168327853</vt:lpwstr>
      </vt:variant>
      <vt:variant>
        <vt:i4>1048627</vt:i4>
      </vt:variant>
      <vt:variant>
        <vt:i4>236</vt:i4>
      </vt:variant>
      <vt:variant>
        <vt:i4>0</vt:i4>
      </vt:variant>
      <vt:variant>
        <vt:i4>5</vt:i4>
      </vt:variant>
      <vt:variant>
        <vt:lpwstr/>
      </vt:variant>
      <vt:variant>
        <vt:lpwstr>_Toc168327852</vt:lpwstr>
      </vt:variant>
      <vt:variant>
        <vt:i4>1048627</vt:i4>
      </vt:variant>
      <vt:variant>
        <vt:i4>230</vt:i4>
      </vt:variant>
      <vt:variant>
        <vt:i4>0</vt:i4>
      </vt:variant>
      <vt:variant>
        <vt:i4>5</vt:i4>
      </vt:variant>
      <vt:variant>
        <vt:lpwstr/>
      </vt:variant>
      <vt:variant>
        <vt:lpwstr>_Toc168327851</vt:lpwstr>
      </vt:variant>
      <vt:variant>
        <vt:i4>1048627</vt:i4>
      </vt:variant>
      <vt:variant>
        <vt:i4>224</vt:i4>
      </vt:variant>
      <vt:variant>
        <vt:i4>0</vt:i4>
      </vt:variant>
      <vt:variant>
        <vt:i4>5</vt:i4>
      </vt:variant>
      <vt:variant>
        <vt:lpwstr/>
      </vt:variant>
      <vt:variant>
        <vt:lpwstr>_Toc168327850</vt:lpwstr>
      </vt:variant>
      <vt:variant>
        <vt:i4>1114163</vt:i4>
      </vt:variant>
      <vt:variant>
        <vt:i4>218</vt:i4>
      </vt:variant>
      <vt:variant>
        <vt:i4>0</vt:i4>
      </vt:variant>
      <vt:variant>
        <vt:i4>5</vt:i4>
      </vt:variant>
      <vt:variant>
        <vt:lpwstr/>
      </vt:variant>
      <vt:variant>
        <vt:lpwstr>_Toc168327849</vt:lpwstr>
      </vt:variant>
      <vt:variant>
        <vt:i4>1114163</vt:i4>
      </vt:variant>
      <vt:variant>
        <vt:i4>212</vt:i4>
      </vt:variant>
      <vt:variant>
        <vt:i4>0</vt:i4>
      </vt:variant>
      <vt:variant>
        <vt:i4>5</vt:i4>
      </vt:variant>
      <vt:variant>
        <vt:lpwstr/>
      </vt:variant>
      <vt:variant>
        <vt:lpwstr>_Toc168327848</vt:lpwstr>
      </vt:variant>
      <vt:variant>
        <vt:i4>1114163</vt:i4>
      </vt:variant>
      <vt:variant>
        <vt:i4>206</vt:i4>
      </vt:variant>
      <vt:variant>
        <vt:i4>0</vt:i4>
      </vt:variant>
      <vt:variant>
        <vt:i4>5</vt:i4>
      </vt:variant>
      <vt:variant>
        <vt:lpwstr/>
      </vt:variant>
      <vt:variant>
        <vt:lpwstr>_Toc168327847</vt:lpwstr>
      </vt:variant>
      <vt:variant>
        <vt:i4>1114163</vt:i4>
      </vt:variant>
      <vt:variant>
        <vt:i4>200</vt:i4>
      </vt:variant>
      <vt:variant>
        <vt:i4>0</vt:i4>
      </vt:variant>
      <vt:variant>
        <vt:i4>5</vt:i4>
      </vt:variant>
      <vt:variant>
        <vt:lpwstr/>
      </vt:variant>
      <vt:variant>
        <vt:lpwstr>_Toc168327846</vt:lpwstr>
      </vt:variant>
      <vt:variant>
        <vt:i4>1114163</vt:i4>
      </vt:variant>
      <vt:variant>
        <vt:i4>194</vt:i4>
      </vt:variant>
      <vt:variant>
        <vt:i4>0</vt:i4>
      </vt:variant>
      <vt:variant>
        <vt:i4>5</vt:i4>
      </vt:variant>
      <vt:variant>
        <vt:lpwstr/>
      </vt:variant>
      <vt:variant>
        <vt:lpwstr>_Toc168327845</vt:lpwstr>
      </vt:variant>
      <vt:variant>
        <vt:i4>1114163</vt:i4>
      </vt:variant>
      <vt:variant>
        <vt:i4>188</vt:i4>
      </vt:variant>
      <vt:variant>
        <vt:i4>0</vt:i4>
      </vt:variant>
      <vt:variant>
        <vt:i4>5</vt:i4>
      </vt:variant>
      <vt:variant>
        <vt:lpwstr/>
      </vt:variant>
      <vt:variant>
        <vt:lpwstr>_Toc168327844</vt:lpwstr>
      </vt:variant>
      <vt:variant>
        <vt:i4>1114163</vt:i4>
      </vt:variant>
      <vt:variant>
        <vt:i4>182</vt:i4>
      </vt:variant>
      <vt:variant>
        <vt:i4>0</vt:i4>
      </vt:variant>
      <vt:variant>
        <vt:i4>5</vt:i4>
      </vt:variant>
      <vt:variant>
        <vt:lpwstr/>
      </vt:variant>
      <vt:variant>
        <vt:lpwstr>_Toc168327843</vt:lpwstr>
      </vt:variant>
      <vt:variant>
        <vt:i4>1114163</vt:i4>
      </vt:variant>
      <vt:variant>
        <vt:i4>176</vt:i4>
      </vt:variant>
      <vt:variant>
        <vt:i4>0</vt:i4>
      </vt:variant>
      <vt:variant>
        <vt:i4>5</vt:i4>
      </vt:variant>
      <vt:variant>
        <vt:lpwstr/>
      </vt:variant>
      <vt:variant>
        <vt:lpwstr>_Toc168327842</vt:lpwstr>
      </vt:variant>
      <vt:variant>
        <vt:i4>1114163</vt:i4>
      </vt:variant>
      <vt:variant>
        <vt:i4>170</vt:i4>
      </vt:variant>
      <vt:variant>
        <vt:i4>0</vt:i4>
      </vt:variant>
      <vt:variant>
        <vt:i4>5</vt:i4>
      </vt:variant>
      <vt:variant>
        <vt:lpwstr/>
      </vt:variant>
      <vt:variant>
        <vt:lpwstr>_Toc168327841</vt:lpwstr>
      </vt:variant>
      <vt:variant>
        <vt:i4>1114163</vt:i4>
      </vt:variant>
      <vt:variant>
        <vt:i4>164</vt:i4>
      </vt:variant>
      <vt:variant>
        <vt:i4>0</vt:i4>
      </vt:variant>
      <vt:variant>
        <vt:i4>5</vt:i4>
      </vt:variant>
      <vt:variant>
        <vt:lpwstr/>
      </vt:variant>
      <vt:variant>
        <vt:lpwstr>_Toc168327840</vt:lpwstr>
      </vt:variant>
      <vt:variant>
        <vt:i4>1441843</vt:i4>
      </vt:variant>
      <vt:variant>
        <vt:i4>158</vt:i4>
      </vt:variant>
      <vt:variant>
        <vt:i4>0</vt:i4>
      </vt:variant>
      <vt:variant>
        <vt:i4>5</vt:i4>
      </vt:variant>
      <vt:variant>
        <vt:lpwstr/>
      </vt:variant>
      <vt:variant>
        <vt:lpwstr>_Toc168327839</vt:lpwstr>
      </vt:variant>
      <vt:variant>
        <vt:i4>1441843</vt:i4>
      </vt:variant>
      <vt:variant>
        <vt:i4>152</vt:i4>
      </vt:variant>
      <vt:variant>
        <vt:i4>0</vt:i4>
      </vt:variant>
      <vt:variant>
        <vt:i4>5</vt:i4>
      </vt:variant>
      <vt:variant>
        <vt:lpwstr/>
      </vt:variant>
      <vt:variant>
        <vt:lpwstr>_Toc168327838</vt:lpwstr>
      </vt:variant>
      <vt:variant>
        <vt:i4>1441843</vt:i4>
      </vt:variant>
      <vt:variant>
        <vt:i4>146</vt:i4>
      </vt:variant>
      <vt:variant>
        <vt:i4>0</vt:i4>
      </vt:variant>
      <vt:variant>
        <vt:i4>5</vt:i4>
      </vt:variant>
      <vt:variant>
        <vt:lpwstr/>
      </vt:variant>
      <vt:variant>
        <vt:lpwstr>_Toc168327837</vt:lpwstr>
      </vt:variant>
      <vt:variant>
        <vt:i4>1441843</vt:i4>
      </vt:variant>
      <vt:variant>
        <vt:i4>140</vt:i4>
      </vt:variant>
      <vt:variant>
        <vt:i4>0</vt:i4>
      </vt:variant>
      <vt:variant>
        <vt:i4>5</vt:i4>
      </vt:variant>
      <vt:variant>
        <vt:lpwstr/>
      </vt:variant>
      <vt:variant>
        <vt:lpwstr>_Toc168327836</vt:lpwstr>
      </vt:variant>
      <vt:variant>
        <vt:i4>1441843</vt:i4>
      </vt:variant>
      <vt:variant>
        <vt:i4>134</vt:i4>
      </vt:variant>
      <vt:variant>
        <vt:i4>0</vt:i4>
      </vt:variant>
      <vt:variant>
        <vt:i4>5</vt:i4>
      </vt:variant>
      <vt:variant>
        <vt:lpwstr/>
      </vt:variant>
      <vt:variant>
        <vt:lpwstr>_Toc168327835</vt:lpwstr>
      </vt:variant>
      <vt:variant>
        <vt:i4>1441843</vt:i4>
      </vt:variant>
      <vt:variant>
        <vt:i4>128</vt:i4>
      </vt:variant>
      <vt:variant>
        <vt:i4>0</vt:i4>
      </vt:variant>
      <vt:variant>
        <vt:i4>5</vt:i4>
      </vt:variant>
      <vt:variant>
        <vt:lpwstr/>
      </vt:variant>
      <vt:variant>
        <vt:lpwstr>_Toc168327834</vt:lpwstr>
      </vt:variant>
      <vt:variant>
        <vt:i4>1441843</vt:i4>
      </vt:variant>
      <vt:variant>
        <vt:i4>122</vt:i4>
      </vt:variant>
      <vt:variant>
        <vt:i4>0</vt:i4>
      </vt:variant>
      <vt:variant>
        <vt:i4>5</vt:i4>
      </vt:variant>
      <vt:variant>
        <vt:lpwstr/>
      </vt:variant>
      <vt:variant>
        <vt:lpwstr>_Toc168327833</vt:lpwstr>
      </vt:variant>
      <vt:variant>
        <vt:i4>1441843</vt:i4>
      </vt:variant>
      <vt:variant>
        <vt:i4>116</vt:i4>
      </vt:variant>
      <vt:variant>
        <vt:i4>0</vt:i4>
      </vt:variant>
      <vt:variant>
        <vt:i4>5</vt:i4>
      </vt:variant>
      <vt:variant>
        <vt:lpwstr/>
      </vt:variant>
      <vt:variant>
        <vt:lpwstr>_Toc168327832</vt:lpwstr>
      </vt:variant>
      <vt:variant>
        <vt:i4>1441843</vt:i4>
      </vt:variant>
      <vt:variant>
        <vt:i4>110</vt:i4>
      </vt:variant>
      <vt:variant>
        <vt:i4>0</vt:i4>
      </vt:variant>
      <vt:variant>
        <vt:i4>5</vt:i4>
      </vt:variant>
      <vt:variant>
        <vt:lpwstr/>
      </vt:variant>
      <vt:variant>
        <vt:lpwstr>_Toc168327831</vt:lpwstr>
      </vt:variant>
      <vt:variant>
        <vt:i4>1441843</vt:i4>
      </vt:variant>
      <vt:variant>
        <vt:i4>104</vt:i4>
      </vt:variant>
      <vt:variant>
        <vt:i4>0</vt:i4>
      </vt:variant>
      <vt:variant>
        <vt:i4>5</vt:i4>
      </vt:variant>
      <vt:variant>
        <vt:lpwstr/>
      </vt:variant>
      <vt:variant>
        <vt:lpwstr>_Toc168327830</vt:lpwstr>
      </vt:variant>
      <vt:variant>
        <vt:i4>1507379</vt:i4>
      </vt:variant>
      <vt:variant>
        <vt:i4>98</vt:i4>
      </vt:variant>
      <vt:variant>
        <vt:i4>0</vt:i4>
      </vt:variant>
      <vt:variant>
        <vt:i4>5</vt:i4>
      </vt:variant>
      <vt:variant>
        <vt:lpwstr/>
      </vt:variant>
      <vt:variant>
        <vt:lpwstr>_Toc168327829</vt:lpwstr>
      </vt:variant>
      <vt:variant>
        <vt:i4>1507379</vt:i4>
      </vt:variant>
      <vt:variant>
        <vt:i4>92</vt:i4>
      </vt:variant>
      <vt:variant>
        <vt:i4>0</vt:i4>
      </vt:variant>
      <vt:variant>
        <vt:i4>5</vt:i4>
      </vt:variant>
      <vt:variant>
        <vt:lpwstr/>
      </vt:variant>
      <vt:variant>
        <vt:lpwstr>_Toc168327828</vt:lpwstr>
      </vt:variant>
      <vt:variant>
        <vt:i4>1507379</vt:i4>
      </vt:variant>
      <vt:variant>
        <vt:i4>86</vt:i4>
      </vt:variant>
      <vt:variant>
        <vt:i4>0</vt:i4>
      </vt:variant>
      <vt:variant>
        <vt:i4>5</vt:i4>
      </vt:variant>
      <vt:variant>
        <vt:lpwstr/>
      </vt:variant>
      <vt:variant>
        <vt:lpwstr>_Toc168327827</vt:lpwstr>
      </vt:variant>
      <vt:variant>
        <vt:i4>1507379</vt:i4>
      </vt:variant>
      <vt:variant>
        <vt:i4>80</vt:i4>
      </vt:variant>
      <vt:variant>
        <vt:i4>0</vt:i4>
      </vt:variant>
      <vt:variant>
        <vt:i4>5</vt:i4>
      </vt:variant>
      <vt:variant>
        <vt:lpwstr/>
      </vt:variant>
      <vt:variant>
        <vt:lpwstr>_Toc168327826</vt:lpwstr>
      </vt:variant>
      <vt:variant>
        <vt:i4>1507379</vt:i4>
      </vt:variant>
      <vt:variant>
        <vt:i4>74</vt:i4>
      </vt:variant>
      <vt:variant>
        <vt:i4>0</vt:i4>
      </vt:variant>
      <vt:variant>
        <vt:i4>5</vt:i4>
      </vt:variant>
      <vt:variant>
        <vt:lpwstr/>
      </vt:variant>
      <vt:variant>
        <vt:lpwstr>_Toc168327825</vt:lpwstr>
      </vt:variant>
      <vt:variant>
        <vt:i4>1507379</vt:i4>
      </vt:variant>
      <vt:variant>
        <vt:i4>68</vt:i4>
      </vt:variant>
      <vt:variant>
        <vt:i4>0</vt:i4>
      </vt:variant>
      <vt:variant>
        <vt:i4>5</vt:i4>
      </vt:variant>
      <vt:variant>
        <vt:lpwstr/>
      </vt:variant>
      <vt:variant>
        <vt:lpwstr>_Toc168327824</vt:lpwstr>
      </vt:variant>
      <vt:variant>
        <vt:i4>1507379</vt:i4>
      </vt:variant>
      <vt:variant>
        <vt:i4>62</vt:i4>
      </vt:variant>
      <vt:variant>
        <vt:i4>0</vt:i4>
      </vt:variant>
      <vt:variant>
        <vt:i4>5</vt:i4>
      </vt:variant>
      <vt:variant>
        <vt:lpwstr/>
      </vt:variant>
      <vt:variant>
        <vt:lpwstr>_Toc168327823</vt:lpwstr>
      </vt:variant>
      <vt:variant>
        <vt:i4>1507379</vt:i4>
      </vt:variant>
      <vt:variant>
        <vt:i4>56</vt:i4>
      </vt:variant>
      <vt:variant>
        <vt:i4>0</vt:i4>
      </vt:variant>
      <vt:variant>
        <vt:i4>5</vt:i4>
      </vt:variant>
      <vt:variant>
        <vt:lpwstr/>
      </vt:variant>
      <vt:variant>
        <vt:lpwstr>_Toc168327822</vt:lpwstr>
      </vt:variant>
      <vt:variant>
        <vt:i4>1507379</vt:i4>
      </vt:variant>
      <vt:variant>
        <vt:i4>50</vt:i4>
      </vt:variant>
      <vt:variant>
        <vt:i4>0</vt:i4>
      </vt:variant>
      <vt:variant>
        <vt:i4>5</vt:i4>
      </vt:variant>
      <vt:variant>
        <vt:lpwstr/>
      </vt:variant>
      <vt:variant>
        <vt:lpwstr>_Toc168327821</vt:lpwstr>
      </vt:variant>
      <vt:variant>
        <vt:i4>1507379</vt:i4>
      </vt:variant>
      <vt:variant>
        <vt:i4>44</vt:i4>
      </vt:variant>
      <vt:variant>
        <vt:i4>0</vt:i4>
      </vt:variant>
      <vt:variant>
        <vt:i4>5</vt:i4>
      </vt:variant>
      <vt:variant>
        <vt:lpwstr/>
      </vt:variant>
      <vt:variant>
        <vt:lpwstr>_Toc168327820</vt:lpwstr>
      </vt:variant>
      <vt:variant>
        <vt:i4>1310771</vt:i4>
      </vt:variant>
      <vt:variant>
        <vt:i4>38</vt:i4>
      </vt:variant>
      <vt:variant>
        <vt:i4>0</vt:i4>
      </vt:variant>
      <vt:variant>
        <vt:i4>5</vt:i4>
      </vt:variant>
      <vt:variant>
        <vt:lpwstr/>
      </vt:variant>
      <vt:variant>
        <vt:lpwstr>_Toc168327819</vt:lpwstr>
      </vt:variant>
      <vt:variant>
        <vt:i4>1310771</vt:i4>
      </vt:variant>
      <vt:variant>
        <vt:i4>32</vt:i4>
      </vt:variant>
      <vt:variant>
        <vt:i4>0</vt:i4>
      </vt:variant>
      <vt:variant>
        <vt:i4>5</vt:i4>
      </vt:variant>
      <vt:variant>
        <vt:lpwstr/>
      </vt:variant>
      <vt:variant>
        <vt:lpwstr>_Toc168327818</vt:lpwstr>
      </vt:variant>
      <vt:variant>
        <vt:i4>1310771</vt:i4>
      </vt:variant>
      <vt:variant>
        <vt:i4>26</vt:i4>
      </vt:variant>
      <vt:variant>
        <vt:i4>0</vt:i4>
      </vt:variant>
      <vt:variant>
        <vt:i4>5</vt:i4>
      </vt:variant>
      <vt:variant>
        <vt:lpwstr/>
      </vt:variant>
      <vt:variant>
        <vt:lpwstr>_Toc168327817</vt:lpwstr>
      </vt:variant>
      <vt:variant>
        <vt:i4>1310771</vt:i4>
      </vt:variant>
      <vt:variant>
        <vt:i4>20</vt:i4>
      </vt:variant>
      <vt:variant>
        <vt:i4>0</vt:i4>
      </vt:variant>
      <vt:variant>
        <vt:i4>5</vt:i4>
      </vt:variant>
      <vt:variant>
        <vt:lpwstr/>
      </vt:variant>
      <vt:variant>
        <vt:lpwstr>_Toc168327816</vt:lpwstr>
      </vt:variant>
      <vt:variant>
        <vt:i4>1310771</vt:i4>
      </vt:variant>
      <vt:variant>
        <vt:i4>14</vt:i4>
      </vt:variant>
      <vt:variant>
        <vt:i4>0</vt:i4>
      </vt:variant>
      <vt:variant>
        <vt:i4>5</vt:i4>
      </vt:variant>
      <vt:variant>
        <vt:lpwstr/>
      </vt:variant>
      <vt:variant>
        <vt:lpwstr>_Toc168327815</vt:lpwstr>
      </vt:variant>
      <vt:variant>
        <vt:i4>1310771</vt:i4>
      </vt:variant>
      <vt:variant>
        <vt:i4>8</vt:i4>
      </vt:variant>
      <vt:variant>
        <vt:i4>0</vt:i4>
      </vt:variant>
      <vt:variant>
        <vt:i4>5</vt:i4>
      </vt:variant>
      <vt:variant>
        <vt:lpwstr/>
      </vt:variant>
      <vt:variant>
        <vt:lpwstr>_Toc168327814</vt:lpwstr>
      </vt:variant>
      <vt:variant>
        <vt:i4>1310771</vt:i4>
      </vt:variant>
      <vt:variant>
        <vt:i4>2</vt:i4>
      </vt:variant>
      <vt:variant>
        <vt:i4>0</vt:i4>
      </vt:variant>
      <vt:variant>
        <vt:i4>5</vt:i4>
      </vt:variant>
      <vt:variant>
        <vt:lpwstr/>
      </vt:variant>
      <vt:variant>
        <vt:lpwstr>_Toc168327813</vt:lpwstr>
      </vt:variant>
      <vt:variant>
        <vt:i4>1245267</vt:i4>
      </vt:variant>
      <vt:variant>
        <vt:i4>12</vt:i4>
      </vt:variant>
      <vt:variant>
        <vt:i4>0</vt:i4>
      </vt:variant>
      <vt:variant>
        <vt:i4>5</vt:i4>
      </vt:variant>
      <vt:variant>
        <vt:lpwstr>https://eur-lex.europa.eu/legal-content/EN/TXT/PDF/?uri=CELEX:52021XC0409(01)</vt:lpwstr>
      </vt:variant>
      <vt:variant>
        <vt:lpwstr/>
      </vt:variant>
      <vt:variant>
        <vt:i4>7733284</vt:i4>
      </vt:variant>
      <vt:variant>
        <vt:i4>0</vt:i4>
      </vt:variant>
      <vt:variant>
        <vt:i4>0</vt:i4>
      </vt:variant>
      <vt:variant>
        <vt:i4>5</vt:i4>
      </vt:variant>
      <vt:variant>
        <vt:lpwstr>https://www.eca.europa.eu/Lists/ECADocuments/BRP_Cohesion_simplification/Briefing_paper_Cohesion_simplification_EN.pdf</vt:lpwstr>
      </vt:variant>
      <vt:variant>
        <vt:lpwstr/>
      </vt:variant>
      <vt:variant>
        <vt:i4>3473418</vt:i4>
      </vt:variant>
      <vt:variant>
        <vt:i4>117</vt:i4>
      </vt:variant>
      <vt:variant>
        <vt:i4>0</vt:i4>
      </vt:variant>
      <vt:variant>
        <vt:i4>5</vt:i4>
      </vt:variant>
      <vt:variant>
        <vt:lpwstr>mailto:Eva.BOJKOVA@ec.europa.eu</vt:lpwstr>
      </vt:variant>
      <vt:variant>
        <vt:lpwstr/>
      </vt:variant>
      <vt:variant>
        <vt:i4>6946928</vt:i4>
      </vt:variant>
      <vt:variant>
        <vt:i4>114</vt:i4>
      </vt:variant>
      <vt:variant>
        <vt:i4>0</vt:i4>
      </vt:variant>
      <vt:variant>
        <vt:i4>5</vt:i4>
      </vt:variant>
      <vt:variant>
        <vt:lpwstr>https://webgate.ec.europa.eu/regiokm/pages/viewpage.action?pageId=37978250</vt:lpwstr>
      </vt:variant>
      <vt:variant>
        <vt:lpwstr/>
      </vt:variant>
      <vt:variant>
        <vt:i4>5242987</vt:i4>
      </vt:variant>
      <vt:variant>
        <vt:i4>111</vt:i4>
      </vt:variant>
      <vt:variant>
        <vt:i4>0</vt:i4>
      </vt:variant>
      <vt:variant>
        <vt:i4>5</vt:i4>
      </vt:variant>
      <vt:variant>
        <vt:lpwstr>mailto:Veronica.COTEA@ec.europa.eu</vt:lpwstr>
      </vt:variant>
      <vt:variant>
        <vt:lpwstr/>
      </vt:variant>
      <vt:variant>
        <vt:i4>3080202</vt:i4>
      </vt:variant>
      <vt:variant>
        <vt:i4>108</vt:i4>
      </vt:variant>
      <vt:variant>
        <vt:i4>0</vt:i4>
      </vt:variant>
      <vt:variant>
        <vt:i4>5</vt:i4>
      </vt:variant>
      <vt:variant>
        <vt:lpwstr>mailto:Marta.TESTA@ec.europa.eu</vt:lpwstr>
      </vt:variant>
      <vt:variant>
        <vt:lpwstr/>
      </vt:variant>
      <vt:variant>
        <vt:i4>3473418</vt:i4>
      </vt:variant>
      <vt:variant>
        <vt:i4>105</vt:i4>
      </vt:variant>
      <vt:variant>
        <vt:i4>0</vt:i4>
      </vt:variant>
      <vt:variant>
        <vt:i4>5</vt:i4>
      </vt:variant>
      <vt:variant>
        <vt:lpwstr>mailto:Eva.BOJKOVA@ec.europa.eu</vt:lpwstr>
      </vt:variant>
      <vt:variant>
        <vt:lpwstr/>
      </vt:variant>
      <vt:variant>
        <vt:i4>3473418</vt:i4>
      </vt:variant>
      <vt:variant>
        <vt:i4>102</vt:i4>
      </vt:variant>
      <vt:variant>
        <vt:i4>0</vt:i4>
      </vt:variant>
      <vt:variant>
        <vt:i4>5</vt:i4>
      </vt:variant>
      <vt:variant>
        <vt:lpwstr>mailto:Eva.BOJKOVA@ec.europa.eu</vt:lpwstr>
      </vt:variant>
      <vt:variant>
        <vt:lpwstr/>
      </vt:variant>
      <vt:variant>
        <vt:i4>3342389</vt:i4>
      </vt:variant>
      <vt:variant>
        <vt:i4>99</vt:i4>
      </vt:variant>
      <vt:variant>
        <vt:i4>0</vt:i4>
      </vt:variant>
      <vt:variant>
        <vt:i4>5</vt:i4>
      </vt:variant>
      <vt:variant>
        <vt:lpwstr>https://webgate.ec.europa.eu/regiokm/display/XNETCPR2021/QA00135+-+Application+of+CPR+and+ETC+flat+rates+and+other+simplified+cost+options+inside+a+Small+project+fund</vt:lpwstr>
      </vt:variant>
      <vt:variant>
        <vt:lpwstr/>
      </vt:variant>
      <vt:variant>
        <vt:i4>7077971</vt:i4>
      </vt:variant>
      <vt:variant>
        <vt:i4>96</vt:i4>
      </vt:variant>
      <vt:variant>
        <vt:i4>0</vt:i4>
      </vt:variant>
      <vt:variant>
        <vt:i4>5</vt:i4>
      </vt:variant>
      <vt:variant>
        <vt:lpwstr>mailto:Raluca.CHETRARU@ec.europa.eu</vt:lpwstr>
      </vt:variant>
      <vt:variant>
        <vt:lpwstr/>
      </vt:variant>
      <vt:variant>
        <vt:i4>7077971</vt:i4>
      </vt:variant>
      <vt:variant>
        <vt:i4>93</vt:i4>
      </vt:variant>
      <vt:variant>
        <vt:i4>0</vt:i4>
      </vt:variant>
      <vt:variant>
        <vt:i4>5</vt:i4>
      </vt:variant>
      <vt:variant>
        <vt:lpwstr>mailto:Raluca.CHETRARU@ec.europa.eu</vt:lpwstr>
      </vt:variant>
      <vt:variant>
        <vt:lpwstr/>
      </vt:variant>
      <vt:variant>
        <vt:i4>7077971</vt:i4>
      </vt:variant>
      <vt:variant>
        <vt:i4>90</vt:i4>
      </vt:variant>
      <vt:variant>
        <vt:i4>0</vt:i4>
      </vt:variant>
      <vt:variant>
        <vt:i4>5</vt:i4>
      </vt:variant>
      <vt:variant>
        <vt:lpwstr>mailto:Raluca.CHETRARU@ec.europa.eu</vt:lpwstr>
      </vt:variant>
      <vt:variant>
        <vt:lpwstr/>
      </vt:variant>
      <vt:variant>
        <vt:i4>3473418</vt:i4>
      </vt:variant>
      <vt:variant>
        <vt:i4>87</vt:i4>
      </vt:variant>
      <vt:variant>
        <vt:i4>0</vt:i4>
      </vt:variant>
      <vt:variant>
        <vt:i4>5</vt:i4>
      </vt:variant>
      <vt:variant>
        <vt:lpwstr>mailto:Eva.BOJKOVA@ec.europa.eu</vt:lpwstr>
      </vt:variant>
      <vt:variant>
        <vt:lpwstr/>
      </vt:variant>
      <vt:variant>
        <vt:i4>2555906</vt:i4>
      </vt:variant>
      <vt:variant>
        <vt:i4>84</vt:i4>
      </vt:variant>
      <vt:variant>
        <vt:i4>0</vt:i4>
      </vt:variant>
      <vt:variant>
        <vt:i4>5</vt:i4>
      </vt:variant>
      <vt:variant>
        <vt:lpwstr>mailto:Silva.HADZHIPETROVA@ec.europa.eu</vt:lpwstr>
      </vt:variant>
      <vt:variant>
        <vt:lpwstr/>
      </vt:variant>
      <vt:variant>
        <vt:i4>3473418</vt:i4>
      </vt:variant>
      <vt:variant>
        <vt:i4>81</vt:i4>
      </vt:variant>
      <vt:variant>
        <vt:i4>0</vt:i4>
      </vt:variant>
      <vt:variant>
        <vt:i4>5</vt:i4>
      </vt:variant>
      <vt:variant>
        <vt:lpwstr>mailto:Eva.BOJKOVA@ec.europa.eu</vt:lpwstr>
      </vt:variant>
      <vt:variant>
        <vt:lpwstr/>
      </vt:variant>
      <vt:variant>
        <vt:i4>5242987</vt:i4>
      </vt:variant>
      <vt:variant>
        <vt:i4>78</vt:i4>
      </vt:variant>
      <vt:variant>
        <vt:i4>0</vt:i4>
      </vt:variant>
      <vt:variant>
        <vt:i4>5</vt:i4>
      </vt:variant>
      <vt:variant>
        <vt:lpwstr>mailto:Veronica.COTEA@ec.europa.eu</vt:lpwstr>
      </vt:variant>
      <vt:variant>
        <vt:lpwstr/>
      </vt:variant>
      <vt:variant>
        <vt:i4>7733329</vt:i4>
      </vt:variant>
      <vt:variant>
        <vt:i4>75</vt:i4>
      </vt:variant>
      <vt:variant>
        <vt:i4>0</vt:i4>
      </vt:variant>
      <vt:variant>
        <vt:i4>5</vt:i4>
      </vt:variant>
      <vt:variant>
        <vt:lpwstr>mailto:Karen.Vandeputte@ec.europa.eu</vt:lpwstr>
      </vt:variant>
      <vt:variant>
        <vt:lpwstr/>
      </vt:variant>
      <vt:variant>
        <vt:i4>3080202</vt:i4>
      </vt:variant>
      <vt:variant>
        <vt:i4>72</vt:i4>
      </vt:variant>
      <vt:variant>
        <vt:i4>0</vt:i4>
      </vt:variant>
      <vt:variant>
        <vt:i4>5</vt:i4>
      </vt:variant>
      <vt:variant>
        <vt:lpwstr>mailto:Marta.TESTA@ec.europa.eu</vt:lpwstr>
      </vt:variant>
      <vt:variant>
        <vt:lpwstr/>
      </vt:variant>
      <vt:variant>
        <vt:i4>7733329</vt:i4>
      </vt:variant>
      <vt:variant>
        <vt:i4>69</vt:i4>
      </vt:variant>
      <vt:variant>
        <vt:i4>0</vt:i4>
      </vt:variant>
      <vt:variant>
        <vt:i4>5</vt:i4>
      </vt:variant>
      <vt:variant>
        <vt:lpwstr>mailto:Karen.Vandeputte@ec.europa.eu</vt:lpwstr>
      </vt:variant>
      <vt:variant>
        <vt:lpwstr/>
      </vt:variant>
      <vt:variant>
        <vt:i4>5242987</vt:i4>
      </vt:variant>
      <vt:variant>
        <vt:i4>66</vt:i4>
      </vt:variant>
      <vt:variant>
        <vt:i4>0</vt:i4>
      </vt:variant>
      <vt:variant>
        <vt:i4>5</vt:i4>
      </vt:variant>
      <vt:variant>
        <vt:lpwstr>mailto:Veronica.COTEA@ec.europa.eu</vt:lpwstr>
      </vt:variant>
      <vt:variant>
        <vt:lpwstr/>
      </vt:variant>
      <vt:variant>
        <vt:i4>7733329</vt:i4>
      </vt:variant>
      <vt:variant>
        <vt:i4>63</vt:i4>
      </vt:variant>
      <vt:variant>
        <vt:i4>0</vt:i4>
      </vt:variant>
      <vt:variant>
        <vt:i4>5</vt:i4>
      </vt:variant>
      <vt:variant>
        <vt:lpwstr>mailto:Karen.Vandeputte@ec.europa.eu</vt:lpwstr>
      </vt:variant>
      <vt:variant>
        <vt:lpwstr/>
      </vt:variant>
      <vt:variant>
        <vt:i4>2555906</vt:i4>
      </vt:variant>
      <vt:variant>
        <vt:i4>60</vt:i4>
      </vt:variant>
      <vt:variant>
        <vt:i4>0</vt:i4>
      </vt:variant>
      <vt:variant>
        <vt:i4>5</vt:i4>
      </vt:variant>
      <vt:variant>
        <vt:lpwstr>mailto:Silva.HADZHIPETROVA@ec.europa.eu</vt:lpwstr>
      </vt:variant>
      <vt:variant>
        <vt:lpwstr/>
      </vt:variant>
      <vt:variant>
        <vt:i4>3473418</vt:i4>
      </vt:variant>
      <vt:variant>
        <vt:i4>57</vt:i4>
      </vt:variant>
      <vt:variant>
        <vt:i4>0</vt:i4>
      </vt:variant>
      <vt:variant>
        <vt:i4>5</vt:i4>
      </vt:variant>
      <vt:variant>
        <vt:lpwstr>mailto:Eva.BOJKOVA@ec.europa.eu</vt:lpwstr>
      </vt:variant>
      <vt:variant>
        <vt:lpwstr/>
      </vt:variant>
      <vt:variant>
        <vt:i4>5242987</vt:i4>
      </vt:variant>
      <vt:variant>
        <vt:i4>54</vt:i4>
      </vt:variant>
      <vt:variant>
        <vt:i4>0</vt:i4>
      </vt:variant>
      <vt:variant>
        <vt:i4>5</vt:i4>
      </vt:variant>
      <vt:variant>
        <vt:lpwstr>mailto:Veronica.COTEA@ec.europa.eu</vt:lpwstr>
      </vt:variant>
      <vt:variant>
        <vt:lpwstr/>
      </vt:variant>
      <vt:variant>
        <vt:i4>7733329</vt:i4>
      </vt:variant>
      <vt:variant>
        <vt:i4>51</vt:i4>
      </vt:variant>
      <vt:variant>
        <vt:i4>0</vt:i4>
      </vt:variant>
      <vt:variant>
        <vt:i4>5</vt:i4>
      </vt:variant>
      <vt:variant>
        <vt:lpwstr>mailto:Karen.Vandeputte@ec.europa.eu</vt:lpwstr>
      </vt:variant>
      <vt:variant>
        <vt:lpwstr/>
      </vt:variant>
      <vt:variant>
        <vt:i4>3080202</vt:i4>
      </vt:variant>
      <vt:variant>
        <vt:i4>48</vt:i4>
      </vt:variant>
      <vt:variant>
        <vt:i4>0</vt:i4>
      </vt:variant>
      <vt:variant>
        <vt:i4>5</vt:i4>
      </vt:variant>
      <vt:variant>
        <vt:lpwstr>mailto:Marta.TESTA@ec.europa.eu</vt:lpwstr>
      </vt:variant>
      <vt:variant>
        <vt:lpwstr/>
      </vt:variant>
      <vt:variant>
        <vt:i4>5242987</vt:i4>
      </vt:variant>
      <vt:variant>
        <vt:i4>45</vt:i4>
      </vt:variant>
      <vt:variant>
        <vt:i4>0</vt:i4>
      </vt:variant>
      <vt:variant>
        <vt:i4>5</vt:i4>
      </vt:variant>
      <vt:variant>
        <vt:lpwstr>mailto:Veronica.COTEA@ec.europa.eu</vt:lpwstr>
      </vt:variant>
      <vt:variant>
        <vt:lpwstr/>
      </vt:variant>
      <vt:variant>
        <vt:i4>7733329</vt:i4>
      </vt:variant>
      <vt:variant>
        <vt:i4>42</vt:i4>
      </vt:variant>
      <vt:variant>
        <vt:i4>0</vt:i4>
      </vt:variant>
      <vt:variant>
        <vt:i4>5</vt:i4>
      </vt:variant>
      <vt:variant>
        <vt:lpwstr>mailto:Karen.Vandeputte@ec.europa.eu</vt:lpwstr>
      </vt:variant>
      <vt:variant>
        <vt:lpwstr/>
      </vt:variant>
      <vt:variant>
        <vt:i4>3080202</vt:i4>
      </vt:variant>
      <vt:variant>
        <vt:i4>39</vt:i4>
      </vt:variant>
      <vt:variant>
        <vt:i4>0</vt:i4>
      </vt:variant>
      <vt:variant>
        <vt:i4>5</vt:i4>
      </vt:variant>
      <vt:variant>
        <vt:lpwstr>mailto:Marta.TESTA@ec.europa.eu</vt:lpwstr>
      </vt:variant>
      <vt:variant>
        <vt:lpwstr/>
      </vt:variant>
      <vt:variant>
        <vt:i4>3670135</vt:i4>
      </vt:variant>
      <vt:variant>
        <vt:i4>36</vt:i4>
      </vt:variant>
      <vt:variant>
        <vt:i4>0</vt:i4>
      </vt:variant>
      <vt:variant>
        <vt:i4>5</vt:i4>
      </vt:variant>
      <vt:variant>
        <vt:lpwstr>https://webgate.ec.europa.eu/regiokm/pages/viewpage.action?pageId=19759398&amp;ticket=ST-9692828-pLOiPWRJGadTPEFczqtFhTjCaHe3NxhJ1UbnGrbljXMcwxJ4A9BMwTl73MYnFX74Et4UOCImtKazVQGODR4BMv-jpJZscgsw0KTrS5zaPkxeb-BCS3Cm5VrZDztIzq6WrdIooR0ifCjrTFISzHNrbuKca4aZW4IvdTeRH67MpUIcUagbZKTG1qOn4CzKVBc0ggZpi</vt:lpwstr>
      </vt:variant>
      <vt:variant>
        <vt:lpwstr/>
      </vt:variant>
      <vt:variant>
        <vt:i4>7733329</vt:i4>
      </vt:variant>
      <vt:variant>
        <vt:i4>33</vt:i4>
      </vt:variant>
      <vt:variant>
        <vt:i4>0</vt:i4>
      </vt:variant>
      <vt:variant>
        <vt:i4>5</vt:i4>
      </vt:variant>
      <vt:variant>
        <vt:lpwstr>mailto:Karen.Vandeputte@ec.europa.eu</vt:lpwstr>
      </vt:variant>
      <vt:variant>
        <vt:lpwstr/>
      </vt:variant>
      <vt:variant>
        <vt:i4>7929925</vt:i4>
      </vt:variant>
      <vt:variant>
        <vt:i4>30</vt:i4>
      </vt:variant>
      <vt:variant>
        <vt:i4>0</vt:i4>
      </vt:variant>
      <vt:variant>
        <vt:i4>5</vt:i4>
      </vt:variant>
      <vt:variant>
        <vt:lpwstr>mailto:Gintare.JURKEVICIUTE@ec.europa.eu</vt:lpwstr>
      </vt:variant>
      <vt:variant>
        <vt:lpwstr/>
      </vt:variant>
      <vt:variant>
        <vt:i4>6815843</vt:i4>
      </vt:variant>
      <vt:variant>
        <vt:i4>27</vt:i4>
      </vt:variant>
      <vt:variant>
        <vt:i4>0</vt:i4>
      </vt:variant>
      <vt:variant>
        <vt:i4>5</vt:i4>
      </vt:variant>
      <vt:variant>
        <vt:lpwstr>https://webgate.ec.europa.eu/regiokm/display/2127QA/QA00293+-+Inclusion+of+paid+holidays+for+direct+staff+costs+under+Article+55%282%29%28b%29+CPR</vt:lpwstr>
      </vt:variant>
      <vt:variant>
        <vt:lpwstr/>
      </vt:variant>
      <vt:variant>
        <vt:i4>7733329</vt:i4>
      </vt:variant>
      <vt:variant>
        <vt:i4>24</vt:i4>
      </vt:variant>
      <vt:variant>
        <vt:i4>0</vt:i4>
      </vt:variant>
      <vt:variant>
        <vt:i4>5</vt:i4>
      </vt:variant>
      <vt:variant>
        <vt:lpwstr>mailto:Karen.Vandeputte@ec.europa.eu</vt:lpwstr>
      </vt:variant>
      <vt:variant>
        <vt:lpwstr/>
      </vt:variant>
      <vt:variant>
        <vt:i4>7077971</vt:i4>
      </vt:variant>
      <vt:variant>
        <vt:i4>21</vt:i4>
      </vt:variant>
      <vt:variant>
        <vt:i4>0</vt:i4>
      </vt:variant>
      <vt:variant>
        <vt:i4>5</vt:i4>
      </vt:variant>
      <vt:variant>
        <vt:lpwstr>mailto:Raluca.CHETRARU@ec.europa.eu</vt:lpwstr>
      </vt:variant>
      <vt:variant>
        <vt:lpwstr/>
      </vt:variant>
      <vt:variant>
        <vt:i4>5242987</vt:i4>
      </vt:variant>
      <vt:variant>
        <vt:i4>18</vt:i4>
      </vt:variant>
      <vt:variant>
        <vt:i4>0</vt:i4>
      </vt:variant>
      <vt:variant>
        <vt:i4>5</vt:i4>
      </vt:variant>
      <vt:variant>
        <vt:lpwstr>mailto:Veronica.COTEA@ec.europa.eu</vt:lpwstr>
      </vt:variant>
      <vt:variant>
        <vt:lpwstr/>
      </vt:variant>
      <vt:variant>
        <vt:i4>458816</vt:i4>
      </vt:variant>
      <vt:variant>
        <vt:i4>15</vt:i4>
      </vt:variant>
      <vt:variant>
        <vt:i4>0</vt:i4>
      </vt:variant>
      <vt:variant>
        <vt:i4>5</vt:i4>
      </vt:variant>
      <vt:variant>
        <vt:lpwstr>https://webgate.ec.europa.eu/regiokm/display/2127QA/QA00053+-+Allowances+paid+in+cash</vt:lpwstr>
      </vt:variant>
      <vt:variant>
        <vt:lpwstr/>
      </vt:variant>
      <vt:variant>
        <vt:i4>8061027</vt:i4>
      </vt:variant>
      <vt:variant>
        <vt:i4>12</vt:i4>
      </vt:variant>
      <vt:variant>
        <vt:i4>0</vt:i4>
      </vt:variant>
      <vt:variant>
        <vt:i4>5</vt:i4>
      </vt:variant>
      <vt:variant>
        <vt:lpwstr>https://webgate.ec.europa.eu/regiokm/display/2127QA/QA00265+-+Flat+rate+financing+for+indirect+costs+Articles+54+and+94+CPR</vt:lpwstr>
      </vt:variant>
      <vt:variant>
        <vt:lpwstr/>
      </vt:variant>
      <vt:variant>
        <vt:i4>7077971</vt:i4>
      </vt:variant>
      <vt:variant>
        <vt:i4>9</vt:i4>
      </vt:variant>
      <vt:variant>
        <vt:i4>0</vt:i4>
      </vt:variant>
      <vt:variant>
        <vt:i4>5</vt:i4>
      </vt:variant>
      <vt:variant>
        <vt:lpwstr>mailto:Raluca.CHETRARU@ec.europa.eu</vt:lpwstr>
      </vt:variant>
      <vt:variant>
        <vt:lpwstr/>
      </vt:variant>
      <vt:variant>
        <vt:i4>7733329</vt:i4>
      </vt:variant>
      <vt:variant>
        <vt:i4>6</vt:i4>
      </vt:variant>
      <vt:variant>
        <vt:i4>0</vt:i4>
      </vt:variant>
      <vt:variant>
        <vt:i4>5</vt:i4>
      </vt:variant>
      <vt:variant>
        <vt:lpwstr>mailto:Karen.Vandeputte@ec.europa.eu</vt:lpwstr>
      </vt:variant>
      <vt:variant>
        <vt:lpwstr/>
      </vt:variant>
      <vt:variant>
        <vt:i4>7077971</vt:i4>
      </vt:variant>
      <vt:variant>
        <vt:i4>3</vt:i4>
      </vt:variant>
      <vt:variant>
        <vt:i4>0</vt:i4>
      </vt:variant>
      <vt:variant>
        <vt:i4>5</vt:i4>
      </vt:variant>
      <vt:variant>
        <vt:lpwstr>mailto:Raluca.CHETRARU@ec.europa.eu</vt:lpwstr>
      </vt:variant>
      <vt:variant>
        <vt:lpwstr/>
      </vt:variant>
      <vt:variant>
        <vt:i4>7077971</vt:i4>
      </vt:variant>
      <vt:variant>
        <vt:i4>0</vt:i4>
      </vt:variant>
      <vt:variant>
        <vt:i4>0</vt:i4>
      </vt:variant>
      <vt:variant>
        <vt:i4>5</vt:i4>
      </vt:variant>
      <vt:variant>
        <vt:lpwstr>mailto:Raluca.CHETRARU@ec.europa.eu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CHETRARU Raluca (REGIO)</cp:lastModifiedBy>
  <cp:revision>6</cp:revision>
  <dcterms:created xsi:type="dcterms:W3CDTF">2024-06-03T20:43:00Z</dcterms:created>
  <dcterms:modified xsi:type="dcterms:W3CDTF">2024-06-03T22:04:00Z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2024-03-21T15:07:45Z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3960e4ea-791b-4564-a1f5-fc4e150399cd</vt:lpwstr>
  </property>
  <property fmtid="{D5CDD505-2E9C-101B-9397-08002B2CF9AE}" pid="8" name="MSIP_Label_6bd9ddd1-4d20-43f6-abfa-fc3c07406f94_ContentBits">
    <vt:lpwstr>0</vt:lpwstr>
  </property>
  <property fmtid="{D5CDD505-2E9C-101B-9397-08002B2CF9AE}" pid="9" name="ContentTypeId">
    <vt:lpwstr>0x01010093484981D676F7469FB7985B8196FE05</vt:lpwstr>
  </property>
</Properties>
</file>